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11DC4" w14:textId="77777777" w:rsidR="0061432E" w:rsidRDefault="00CA68EE" w:rsidP="00CA68EE">
      <w:pPr>
        <w:jc w:val="center"/>
        <w:rPr>
          <w:rFonts w:ascii="Times New Roman" w:hAnsi="Times New Roman" w:cs="Times New Roman"/>
          <w:b/>
          <w:sz w:val="28"/>
          <w:szCs w:val="28"/>
        </w:rPr>
      </w:pPr>
      <w:r w:rsidRPr="00A73EE1">
        <w:rPr>
          <w:rFonts w:ascii="Times New Roman" w:hAnsi="Times New Roman" w:cs="Times New Roman"/>
          <w:b/>
          <w:sz w:val="28"/>
          <w:szCs w:val="28"/>
        </w:rPr>
        <w:t xml:space="preserve">CROSSWALK </w:t>
      </w:r>
      <w:r w:rsidR="00593F4A">
        <w:rPr>
          <w:rFonts w:ascii="Times New Roman" w:hAnsi="Times New Roman" w:cs="Times New Roman"/>
          <w:b/>
          <w:sz w:val="28"/>
          <w:szCs w:val="28"/>
        </w:rPr>
        <w:t xml:space="preserve">OF </w:t>
      </w:r>
      <w:r w:rsidRPr="00A73EE1">
        <w:rPr>
          <w:rFonts w:ascii="Times New Roman" w:hAnsi="Times New Roman" w:cs="Times New Roman"/>
          <w:b/>
          <w:sz w:val="28"/>
          <w:szCs w:val="28"/>
        </w:rPr>
        <w:t>PROCUREMENT STANDARDS</w:t>
      </w:r>
      <w:r w:rsidR="00593F4A">
        <w:rPr>
          <w:rFonts w:ascii="Times New Roman" w:hAnsi="Times New Roman" w:cs="Times New Roman"/>
          <w:b/>
          <w:sz w:val="28"/>
          <w:szCs w:val="28"/>
        </w:rPr>
        <w:t xml:space="preserve"> FOR </w:t>
      </w:r>
      <w:r w:rsidR="001B1BF1">
        <w:rPr>
          <w:rFonts w:ascii="Times New Roman" w:hAnsi="Times New Roman" w:cs="Times New Roman"/>
          <w:b/>
          <w:sz w:val="28"/>
          <w:szCs w:val="28"/>
        </w:rPr>
        <w:t>USING AN</w:t>
      </w:r>
    </w:p>
    <w:p w14:paraId="434549DA" w14:textId="30693AFC" w:rsidR="004C5EF4" w:rsidRPr="00A73EE1" w:rsidRDefault="0061432E" w:rsidP="00CA68EE">
      <w:pPr>
        <w:jc w:val="center"/>
        <w:rPr>
          <w:rFonts w:ascii="Times New Roman" w:hAnsi="Times New Roman" w:cs="Times New Roman"/>
          <w:b/>
          <w:sz w:val="28"/>
          <w:szCs w:val="28"/>
        </w:rPr>
      </w:pPr>
      <w:r>
        <w:rPr>
          <w:rFonts w:ascii="Times New Roman" w:hAnsi="Times New Roman" w:cs="Times New Roman"/>
          <w:b/>
          <w:sz w:val="28"/>
          <w:szCs w:val="28"/>
        </w:rPr>
        <w:t>ELECTRONIC PLATFORM</w:t>
      </w:r>
    </w:p>
    <w:p w14:paraId="542F0876" w14:textId="76C4AB93" w:rsidR="00CA68EE" w:rsidRPr="00A73EE1" w:rsidRDefault="00CA68EE" w:rsidP="00CA68EE">
      <w:pPr>
        <w:jc w:val="center"/>
        <w:rPr>
          <w:rFonts w:ascii="Times New Roman" w:hAnsi="Times New Roman" w:cs="Times New Roman"/>
          <w:b/>
          <w:sz w:val="28"/>
          <w:szCs w:val="28"/>
        </w:rPr>
      </w:pPr>
      <w:r w:rsidRPr="00A73EE1">
        <w:rPr>
          <w:rFonts w:ascii="Times New Roman" w:hAnsi="Times New Roman" w:cs="Times New Roman"/>
          <w:b/>
          <w:sz w:val="28"/>
          <w:szCs w:val="28"/>
        </w:rPr>
        <w:t>2 CFR §200.31</w:t>
      </w:r>
      <w:r w:rsidR="0061432E">
        <w:rPr>
          <w:rFonts w:ascii="Times New Roman" w:hAnsi="Times New Roman" w:cs="Times New Roman"/>
          <w:b/>
          <w:sz w:val="28"/>
          <w:szCs w:val="28"/>
        </w:rPr>
        <w:t>8</w:t>
      </w:r>
      <w:r w:rsidRPr="00A73EE1">
        <w:rPr>
          <w:rFonts w:ascii="Times New Roman" w:hAnsi="Times New Roman" w:cs="Times New Roman"/>
          <w:b/>
          <w:sz w:val="28"/>
          <w:szCs w:val="28"/>
        </w:rPr>
        <w:t>-§200.326</w:t>
      </w:r>
    </w:p>
    <w:tbl>
      <w:tblPr>
        <w:tblStyle w:val="TableGrid"/>
        <w:tblW w:w="14490" w:type="dxa"/>
        <w:jc w:val="center"/>
        <w:tblLook w:val="04A0" w:firstRow="1" w:lastRow="0" w:firstColumn="1" w:lastColumn="0" w:noHBand="0" w:noVBand="1"/>
      </w:tblPr>
      <w:tblGrid>
        <w:gridCol w:w="1890"/>
        <w:gridCol w:w="4096"/>
        <w:gridCol w:w="8504"/>
      </w:tblGrid>
      <w:tr w:rsidR="00AF4746" w:rsidRPr="0061432E" w14:paraId="131B97C4" w14:textId="77777777" w:rsidTr="0061432E">
        <w:trPr>
          <w:jc w:val="center"/>
        </w:trPr>
        <w:tc>
          <w:tcPr>
            <w:tcW w:w="1890" w:type="dxa"/>
            <w:shd w:val="clear" w:color="auto" w:fill="F2F2F2" w:themeFill="background1" w:themeFillShade="F2"/>
          </w:tcPr>
          <w:p w14:paraId="5A33744C" w14:textId="77777777" w:rsidR="00AF4746" w:rsidRPr="0061432E" w:rsidRDefault="00AF4746">
            <w:pPr>
              <w:rPr>
                <w:rFonts w:ascii="Times New Roman" w:hAnsi="Times New Roman" w:cs="Times New Roman"/>
                <w:b/>
                <w:sz w:val="24"/>
                <w:szCs w:val="24"/>
              </w:rPr>
            </w:pPr>
          </w:p>
        </w:tc>
        <w:tc>
          <w:tcPr>
            <w:tcW w:w="4096" w:type="dxa"/>
            <w:shd w:val="clear" w:color="auto" w:fill="F2F2F2" w:themeFill="background1" w:themeFillShade="F2"/>
          </w:tcPr>
          <w:p w14:paraId="03015E4E" w14:textId="06DC4F21" w:rsidR="00AF4746" w:rsidRPr="0061432E" w:rsidRDefault="00AF4746" w:rsidP="00CA68EE">
            <w:pPr>
              <w:rPr>
                <w:rFonts w:ascii="Times New Roman" w:hAnsi="Times New Roman" w:cs="Times New Roman"/>
                <w:b/>
                <w:sz w:val="24"/>
                <w:szCs w:val="24"/>
              </w:rPr>
            </w:pPr>
          </w:p>
        </w:tc>
        <w:tc>
          <w:tcPr>
            <w:tcW w:w="8504" w:type="dxa"/>
            <w:shd w:val="clear" w:color="auto" w:fill="F2F2F2" w:themeFill="background1" w:themeFillShade="F2"/>
          </w:tcPr>
          <w:p w14:paraId="668B8FE1" w14:textId="7EB87E90" w:rsidR="00AF4746" w:rsidRPr="0061432E" w:rsidRDefault="00AF4746" w:rsidP="00CA68EE">
            <w:pPr>
              <w:rPr>
                <w:rFonts w:ascii="Times New Roman" w:hAnsi="Times New Roman" w:cs="Times New Roman"/>
                <w:b/>
                <w:sz w:val="24"/>
                <w:szCs w:val="24"/>
              </w:rPr>
            </w:pPr>
          </w:p>
        </w:tc>
      </w:tr>
      <w:tr w:rsidR="00AF4746" w:rsidRPr="0061432E" w14:paraId="44089EDC" w14:textId="77777777" w:rsidTr="0061432E">
        <w:trPr>
          <w:trHeight w:val="70"/>
          <w:jc w:val="center"/>
        </w:trPr>
        <w:tc>
          <w:tcPr>
            <w:tcW w:w="1890" w:type="dxa"/>
            <w:shd w:val="clear" w:color="auto" w:fill="F2F2F2" w:themeFill="background1" w:themeFillShade="F2"/>
            <w:vAlign w:val="center"/>
          </w:tcPr>
          <w:p w14:paraId="2B858B8B"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General Procurement Standards</w:t>
            </w:r>
          </w:p>
          <w:p w14:paraId="3D4727C1"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6DCCE78C" w14:textId="77777777" w:rsidR="00AF4746" w:rsidRPr="0061432E" w:rsidRDefault="00AF4746" w:rsidP="00CA68EE">
            <w:pPr>
              <w:rPr>
                <w:rFonts w:ascii="Times New Roman" w:hAnsi="Times New Roman" w:cs="Times New Roman"/>
                <w:b/>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§318(a):</w:t>
            </w:r>
            <w:r w:rsidRPr="0061432E">
              <w:rPr>
                <w:rFonts w:ascii="Times New Roman" w:hAnsi="Times New Roman" w:cs="Times New Roman"/>
                <w:color w:val="000000"/>
                <w:sz w:val="24"/>
                <w:szCs w:val="24"/>
                <w:shd w:val="clear" w:color="auto" w:fill="FFFFFF"/>
              </w:rPr>
              <w:t xml:space="preserve"> The non-Federal entity must use its own documented procurement procedures which reflect applicable State, local, and tribal laws and regulations, provided that the procurements conform to applicable Federal law and the standards identified in this part</w:t>
            </w:r>
            <w:r w:rsidRPr="0061432E">
              <w:rPr>
                <w:rFonts w:ascii="Times New Roman" w:hAnsi="Times New Roman" w:cs="Times New Roman"/>
                <w:i/>
                <w:color w:val="000000"/>
                <w:sz w:val="24"/>
                <w:szCs w:val="24"/>
                <w:shd w:val="clear" w:color="auto" w:fill="FFFFFF"/>
              </w:rPr>
              <w:t>.</w:t>
            </w:r>
          </w:p>
        </w:tc>
        <w:tc>
          <w:tcPr>
            <w:tcW w:w="8504" w:type="dxa"/>
          </w:tcPr>
          <w:p w14:paraId="0D2448C6" w14:textId="77777777" w:rsidR="00544237" w:rsidRPr="0061432E" w:rsidRDefault="00544237" w:rsidP="00CA68EE">
            <w:pPr>
              <w:rPr>
                <w:rFonts w:ascii="Times New Roman" w:hAnsi="Times New Roman" w:cs="Times New Roman"/>
                <w:i/>
                <w:sz w:val="24"/>
                <w:szCs w:val="24"/>
              </w:rPr>
            </w:pPr>
          </w:p>
        </w:tc>
      </w:tr>
      <w:tr w:rsidR="00AF4746" w:rsidRPr="0061432E" w14:paraId="530B9EF5" w14:textId="77777777" w:rsidTr="0061432E">
        <w:trPr>
          <w:trHeight w:val="70"/>
          <w:jc w:val="center"/>
        </w:trPr>
        <w:tc>
          <w:tcPr>
            <w:tcW w:w="1890" w:type="dxa"/>
            <w:shd w:val="clear" w:color="auto" w:fill="F2F2F2" w:themeFill="background1" w:themeFillShade="F2"/>
            <w:vAlign w:val="center"/>
          </w:tcPr>
          <w:p w14:paraId="19C329FA"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Oversight Responsibilities</w:t>
            </w:r>
          </w:p>
          <w:p w14:paraId="6F2E1D4E"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57273019"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318(b):</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Non-Federal entities must maintain oversight to ensure that contractors perform in accordance with the terms, conditions, and specifications of their contracts or purchase orders.</w:t>
            </w:r>
          </w:p>
        </w:tc>
        <w:tc>
          <w:tcPr>
            <w:tcW w:w="8504" w:type="dxa"/>
          </w:tcPr>
          <w:p w14:paraId="5A92F69C" w14:textId="77777777" w:rsidR="00AF4746" w:rsidRPr="0061432E" w:rsidRDefault="00AF4746" w:rsidP="00CA68EE">
            <w:pPr>
              <w:rPr>
                <w:rFonts w:ascii="Times New Roman" w:hAnsi="Times New Roman" w:cs="Times New Roman"/>
                <w:i/>
                <w:sz w:val="24"/>
                <w:szCs w:val="24"/>
              </w:rPr>
            </w:pPr>
          </w:p>
        </w:tc>
      </w:tr>
      <w:tr w:rsidR="00AF4746" w:rsidRPr="0061432E" w14:paraId="1A6A9D67" w14:textId="77777777" w:rsidTr="0061432E">
        <w:trPr>
          <w:trHeight w:val="70"/>
          <w:jc w:val="center"/>
        </w:trPr>
        <w:tc>
          <w:tcPr>
            <w:tcW w:w="1890" w:type="dxa"/>
            <w:shd w:val="clear" w:color="auto" w:fill="F2F2F2" w:themeFill="background1" w:themeFillShade="F2"/>
            <w:vAlign w:val="center"/>
          </w:tcPr>
          <w:p w14:paraId="7FDDF724"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Conflicts of Interest</w:t>
            </w:r>
          </w:p>
          <w:p w14:paraId="015F0DA1"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369A7C2E"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318(c)(1):</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 xml:space="preserve">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w:t>
            </w:r>
            <w:r w:rsidRPr="0061432E">
              <w:rPr>
                <w:rFonts w:ascii="Times New Roman" w:hAnsi="Times New Roman" w:cs="Times New Roman"/>
                <w:color w:val="000000"/>
                <w:sz w:val="24"/>
                <w:szCs w:val="24"/>
                <w:shd w:val="clear" w:color="auto" w:fill="FFFFFF"/>
              </w:rPr>
              <w:lastRenderedPageBreak/>
              <w:t>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p>
        </w:tc>
        <w:tc>
          <w:tcPr>
            <w:tcW w:w="8504" w:type="dxa"/>
          </w:tcPr>
          <w:p w14:paraId="429CF4DD" w14:textId="77777777" w:rsidR="004E0D81" w:rsidRPr="0061432E" w:rsidRDefault="004E0D81" w:rsidP="00617A4D">
            <w:pPr>
              <w:pStyle w:val="psection-3"/>
              <w:shd w:val="clear" w:color="auto" w:fill="FFFFFF"/>
              <w:spacing w:before="0" w:beforeAutospacing="0" w:after="0" w:afterAutospacing="0"/>
              <w:ind w:left="164"/>
            </w:pPr>
          </w:p>
        </w:tc>
      </w:tr>
      <w:tr w:rsidR="00AF4746" w:rsidRPr="0061432E" w14:paraId="6AAE05CB" w14:textId="77777777" w:rsidTr="0061432E">
        <w:trPr>
          <w:trHeight w:val="70"/>
          <w:jc w:val="center"/>
        </w:trPr>
        <w:tc>
          <w:tcPr>
            <w:tcW w:w="1890" w:type="dxa"/>
            <w:shd w:val="clear" w:color="auto" w:fill="F2F2F2" w:themeFill="background1" w:themeFillShade="F2"/>
            <w:vAlign w:val="center"/>
          </w:tcPr>
          <w:p w14:paraId="0725271A"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Organizational Conflicts of Interest</w:t>
            </w:r>
          </w:p>
          <w:p w14:paraId="3759CA24" w14:textId="77777777" w:rsidR="00AF4746" w:rsidRPr="0061432E" w:rsidRDefault="00AF4746" w:rsidP="00617A4D">
            <w:pPr>
              <w:rPr>
                <w:rFonts w:ascii="Times New Roman" w:hAnsi="Times New Roman" w:cs="Times New Roman"/>
                <w:sz w:val="24"/>
                <w:szCs w:val="24"/>
              </w:rPr>
            </w:pPr>
          </w:p>
        </w:tc>
        <w:tc>
          <w:tcPr>
            <w:tcW w:w="4096" w:type="dxa"/>
          </w:tcPr>
          <w:p w14:paraId="0AAC9BAD" w14:textId="77777777" w:rsidR="00AF4746" w:rsidRPr="0061432E" w:rsidRDefault="00AF4746" w:rsidP="00CA68EE">
            <w:pPr>
              <w:rPr>
                <w:rFonts w:ascii="Times New Roman" w:hAnsi="Times New Roman" w:cs="Times New Roman"/>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§318(c)(2):</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If the non-Federal entity has a parent, affiliate, or subsidiary organization that is not a state, local government, or Indian tribe, the non-Federal entity must also maintain written standards of conduct covering organizational conflicts of interest. Organizational conflict of interest means that because of relationships with a parent company, affiliate, or subsidiary organization, the non-Federal entity is unable or appears to be unable to be impartial in conducting a procurement action involving a related organization.</w:t>
            </w:r>
          </w:p>
        </w:tc>
        <w:tc>
          <w:tcPr>
            <w:tcW w:w="8504" w:type="dxa"/>
            <w:shd w:val="clear" w:color="auto" w:fill="FFFFFF" w:themeFill="background1"/>
          </w:tcPr>
          <w:p w14:paraId="03338626" w14:textId="77777777" w:rsidR="00F25239" w:rsidRPr="0061432E" w:rsidRDefault="00F25239" w:rsidP="000B422D">
            <w:pPr>
              <w:jc w:val="center"/>
              <w:rPr>
                <w:rFonts w:ascii="Times New Roman" w:hAnsi="Times New Roman" w:cs="Times New Roman"/>
                <w:sz w:val="24"/>
                <w:szCs w:val="24"/>
              </w:rPr>
            </w:pPr>
          </w:p>
        </w:tc>
      </w:tr>
      <w:tr w:rsidR="00AF4746" w:rsidRPr="0061432E" w14:paraId="09C7A06F" w14:textId="77777777" w:rsidTr="0061432E">
        <w:trPr>
          <w:trHeight w:val="70"/>
          <w:jc w:val="center"/>
        </w:trPr>
        <w:tc>
          <w:tcPr>
            <w:tcW w:w="1890" w:type="dxa"/>
            <w:shd w:val="clear" w:color="auto" w:fill="F2F2F2" w:themeFill="background1" w:themeFillShade="F2"/>
            <w:vAlign w:val="center"/>
          </w:tcPr>
          <w:p w14:paraId="31211A1C"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 xml:space="preserve">Avoidance of unnecessary or </w:t>
            </w:r>
            <w:r w:rsidRPr="0061432E">
              <w:rPr>
                <w:rFonts w:ascii="Times New Roman" w:hAnsi="Times New Roman" w:cs="Times New Roman"/>
                <w:b/>
                <w:bCs/>
                <w:sz w:val="24"/>
                <w:szCs w:val="24"/>
              </w:rPr>
              <w:lastRenderedPageBreak/>
              <w:t>duplicative items.</w:t>
            </w:r>
          </w:p>
          <w:p w14:paraId="5DF37B16" w14:textId="77777777" w:rsidR="00AF4746" w:rsidRPr="0061432E" w:rsidRDefault="00AF4746" w:rsidP="00617A4D">
            <w:pPr>
              <w:rPr>
                <w:rFonts w:ascii="Times New Roman" w:hAnsi="Times New Roman" w:cs="Times New Roman"/>
                <w:sz w:val="24"/>
                <w:szCs w:val="24"/>
              </w:rPr>
            </w:pPr>
          </w:p>
        </w:tc>
        <w:tc>
          <w:tcPr>
            <w:tcW w:w="4096" w:type="dxa"/>
          </w:tcPr>
          <w:p w14:paraId="60C5EFCE"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lastRenderedPageBreak/>
              <w:t>§318(d):</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 xml:space="preserve">The non-Federal entity's procedures must avoid acquisition of unnecessary or duplicative items. </w:t>
            </w:r>
            <w:r w:rsidRPr="0061432E">
              <w:rPr>
                <w:rFonts w:ascii="Times New Roman" w:hAnsi="Times New Roman" w:cs="Times New Roman"/>
                <w:color w:val="000000"/>
                <w:sz w:val="24"/>
                <w:szCs w:val="24"/>
                <w:shd w:val="clear" w:color="auto" w:fill="FFFFFF"/>
              </w:rPr>
              <w:lastRenderedPageBreak/>
              <w:t>Consideration should be given to consolidating or breaking out procurements to obtain a more economical purchase. Where appropriate, an analysis will be made of lease versus purchase alternatives, and any other appropriate analysis to determine the most economical approach.</w:t>
            </w:r>
          </w:p>
        </w:tc>
        <w:tc>
          <w:tcPr>
            <w:tcW w:w="8504" w:type="dxa"/>
          </w:tcPr>
          <w:p w14:paraId="533094C1" w14:textId="77777777" w:rsidR="00544237" w:rsidRPr="0061432E" w:rsidRDefault="00544237" w:rsidP="00CA68EE">
            <w:pPr>
              <w:rPr>
                <w:rFonts w:ascii="Times New Roman" w:hAnsi="Times New Roman" w:cs="Times New Roman"/>
                <w:i/>
                <w:sz w:val="24"/>
                <w:szCs w:val="24"/>
              </w:rPr>
            </w:pPr>
          </w:p>
        </w:tc>
      </w:tr>
      <w:tr w:rsidR="00AF4746" w:rsidRPr="0061432E" w14:paraId="2434ADCB" w14:textId="77777777" w:rsidTr="0061432E">
        <w:trPr>
          <w:trHeight w:val="70"/>
          <w:jc w:val="center"/>
        </w:trPr>
        <w:tc>
          <w:tcPr>
            <w:tcW w:w="1890" w:type="dxa"/>
            <w:shd w:val="clear" w:color="auto" w:fill="F2F2F2" w:themeFill="background1" w:themeFillShade="F2"/>
            <w:vAlign w:val="center"/>
          </w:tcPr>
          <w:p w14:paraId="4A628084"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General Procurement Standards</w:t>
            </w:r>
            <w:r w:rsidR="0053128A" w:rsidRPr="0061432E">
              <w:rPr>
                <w:rFonts w:ascii="Times New Roman" w:hAnsi="Times New Roman" w:cs="Times New Roman"/>
                <w:b/>
                <w:bCs/>
                <w:sz w:val="24"/>
                <w:szCs w:val="24"/>
              </w:rPr>
              <w:t>; Promotion of Cost-Effective Use of Shared Services</w:t>
            </w:r>
          </w:p>
          <w:p w14:paraId="3FE918A7" w14:textId="77777777" w:rsidR="00AF4746" w:rsidRPr="0061432E" w:rsidRDefault="00AF4746" w:rsidP="00617A4D">
            <w:pPr>
              <w:rPr>
                <w:rFonts w:ascii="Times New Roman" w:hAnsi="Times New Roman" w:cs="Times New Roman"/>
                <w:sz w:val="24"/>
                <w:szCs w:val="24"/>
              </w:rPr>
            </w:pPr>
          </w:p>
        </w:tc>
        <w:tc>
          <w:tcPr>
            <w:tcW w:w="4096" w:type="dxa"/>
          </w:tcPr>
          <w:p w14:paraId="6C638A31" w14:textId="77777777" w:rsidR="00AF4746" w:rsidRPr="0061432E" w:rsidRDefault="00AF4746" w:rsidP="00CA68EE">
            <w:pPr>
              <w:rPr>
                <w:rFonts w:ascii="Times New Roman" w:hAnsi="Times New Roman" w:cs="Times New Roman"/>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§318(e):</w:t>
            </w:r>
            <w:r w:rsidRPr="0061432E">
              <w:rPr>
                <w:rFonts w:ascii="Times New Roman" w:hAnsi="Times New Roman" w:cs="Times New Roman"/>
                <w:color w:val="000000"/>
                <w:sz w:val="24"/>
                <w:szCs w:val="24"/>
                <w:shd w:val="clear" w:color="auto" w:fill="FFFFFF"/>
              </w:rPr>
              <w:t xml:space="preserv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w:t>
            </w:r>
          </w:p>
        </w:tc>
        <w:tc>
          <w:tcPr>
            <w:tcW w:w="8504" w:type="dxa"/>
          </w:tcPr>
          <w:p w14:paraId="29BBC9AD" w14:textId="77777777" w:rsidR="0053128A" w:rsidRPr="0061432E" w:rsidRDefault="0053128A" w:rsidP="00CA68EE">
            <w:pPr>
              <w:rPr>
                <w:rFonts w:ascii="Times New Roman" w:hAnsi="Times New Roman" w:cs="Times New Roman"/>
                <w:sz w:val="24"/>
                <w:szCs w:val="24"/>
              </w:rPr>
            </w:pPr>
          </w:p>
        </w:tc>
      </w:tr>
      <w:tr w:rsidR="00AF4746" w:rsidRPr="0061432E" w14:paraId="57926ECE" w14:textId="77777777" w:rsidTr="0061432E">
        <w:trPr>
          <w:trHeight w:val="70"/>
          <w:jc w:val="center"/>
        </w:trPr>
        <w:tc>
          <w:tcPr>
            <w:tcW w:w="1890" w:type="dxa"/>
            <w:shd w:val="clear" w:color="auto" w:fill="F2F2F2" w:themeFill="background1" w:themeFillShade="F2"/>
            <w:vAlign w:val="center"/>
          </w:tcPr>
          <w:p w14:paraId="13FC0437"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Use of Federal excess property</w:t>
            </w:r>
          </w:p>
          <w:p w14:paraId="463A5FB0"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4875B522"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§318(f):</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is encouraged to use Federal excess and surplus property in lieu of purchasing new equipment and property whenever such use is feasible and reduces project costs.</w:t>
            </w:r>
          </w:p>
        </w:tc>
        <w:tc>
          <w:tcPr>
            <w:tcW w:w="8504" w:type="dxa"/>
            <w:shd w:val="clear" w:color="auto" w:fill="auto"/>
          </w:tcPr>
          <w:p w14:paraId="720F7F45" w14:textId="77777777" w:rsidR="00AF4746" w:rsidRPr="0061432E" w:rsidRDefault="00AF4746" w:rsidP="0053128A">
            <w:pPr>
              <w:tabs>
                <w:tab w:val="left" w:pos="1176"/>
              </w:tabs>
              <w:rPr>
                <w:rFonts w:ascii="Times New Roman" w:hAnsi="Times New Roman" w:cs="Times New Roman"/>
                <w:sz w:val="24"/>
                <w:szCs w:val="24"/>
              </w:rPr>
            </w:pPr>
          </w:p>
        </w:tc>
      </w:tr>
      <w:tr w:rsidR="00AF4746" w:rsidRPr="0061432E" w14:paraId="05FABE26" w14:textId="77777777" w:rsidTr="0061432E">
        <w:trPr>
          <w:trHeight w:val="70"/>
          <w:jc w:val="center"/>
        </w:trPr>
        <w:tc>
          <w:tcPr>
            <w:tcW w:w="1890" w:type="dxa"/>
            <w:shd w:val="clear" w:color="auto" w:fill="F2F2F2" w:themeFill="background1" w:themeFillShade="F2"/>
            <w:vAlign w:val="center"/>
          </w:tcPr>
          <w:p w14:paraId="27B1AEAD"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Value Engineering Clause</w:t>
            </w:r>
          </w:p>
          <w:p w14:paraId="6686F484"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625F6BB4"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§318(g):</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w:t>
            </w:r>
          </w:p>
        </w:tc>
        <w:tc>
          <w:tcPr>
            <w:tcW w:w="8504" w:type="dxa"/>
          </w:tcPr>
          <w:p w14:paraId="3FB7B72B" w14:textId="77777777" w:rsidR="004A0ECE" w:rsidRPr="0061432E" w:rsidRDefault="004A0ECE" w:rsidP="00CA68EE">
            <w:pPr>
              <w:rPr>
                <w:rFonts w:ascii="Times New Roman" w:hAnsi="Times New Roman" w:cs="Times New Roman"/>
                <w:i/>
                <w:sz w:val="24"/>
                <w:szCs w:val="24"/>
              </w:rPr>
            </w:pPr>
          </w:p>
        </w:tc>
      </w:tr>
      <w:tr w:rsidR="00AF4746" w:rsidRPr="0061432E" w14:paraId="7E3A230F" w14:textId="77777777" w:rsidTr="0061432E">
        <w:trPr>
          <w:trHeight w:val="70"/>
          <w:jc w:val="center"/>
        </w:trPr>
        <w:tc>
          <w:tcPr>
            <w:tcW w:w="1890" w:type="dxa"/>
            <w:shd w:val="clear" w:color="auto" w:fill="F2F2F2" w:themeFill="background1" w:themeFillShade="F2"/>
            <w:vAlign w:val="center"/>
          </w:tcPr>
          <w:p w14:paraId="7F5D5CE4"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lastRenderedPageBreak/>
              <w:t>Award to Responsible Contractors Only</w:t>
            </w:r>
          </w:p>
        </w:tc>
        <w:tc>
          <w:tcPr>
            <w:tcW w:w="4096" w:type="dxa"/>
          </w:tcPr>
          <w:p w14:paraId="3BC193A9" w14:textId="77777777" w:rsidR="00AF4746" w:rsidRPr="0061432E" w:rsidRDefault="00AF4746" w:rsidP="00CA68EE">
            <w:pPr>
              <w:rPr>
                <w:rFonts w:ascii="Times New Roman" w:hAnsi="Times New Roman" w:cs="Times New Roman"/>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§318(h):</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§200.213 Suspension and debarment.</w:t>
            </w:r>
          </w:p>
        </w:tc>
        <w:tc>
          <w:tcPr>
            <w:tcW w:w="8504" w:type="dxa"/>
          </w:tcPr>
          <w:p w14:paraId="28EBEEF0" w14:textId="77777777" w:rsidR="004A0ECE" w:rsidRPr="0061432E" w:rsidRDefault="004A0ECE">
            <w:pPr>
              <w:rPr>
                <w:rFonts w:ascii="Times New Roman" w:hAnsi="Times New Roman" w:cs="Times New Roman"/>
                <w:i/>
                <w:sz w:val="24"/>
                <w:szCs w:val="24"/>
              </w:rPr>
            </w:pPr>
          </w:p>
        </w:tc>
      </w:tr>
      <w:tr w:rsidR="00AF4746" w:rsidRPr="0061432E" w14:paraId="41C90BD9" w14:textId="77777777" w:rsidTr="0061432E">
        <w:trPr>
          <w:trHeight w:val="70"/>
          <w:jc w:val="center"/>
        </w:trPr>
        <w:tc>
          <w:tcPr>
            <w:tcW w:w="1890" w:type="dxa"/>
            <w:shd w:val="clear" w:color="auto" w:fill="F2F2F2" w:themeFill="background1" w:themeFillShade="F2"/>
            <w:vAlign w:val="center"/>
          </w:tcPr>
          <w:p w14:paraId="175FE74B" w14:textId="2E68B0E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Record Maintenance</w:t>
            </w:r>
          </w:p>
          <w:p w14:paraId="5538F100" w14:textId="77777777" w:rsidR="00AF4746" w:rsidRPr="0061432E" w:rsidRDefault="00AF4746" w:rsidP="0061432E">
            <w:pPr>
              <w:jc w:val="center"/>
              <w:rPr>
                <w:rFonts w:ascii="Times New Roman" w:hAnsi="Times New Roman" w:cs="Times New Roman"/>
                <w:b/>
                <w:bCs/>
                <w:sz w:val="24"/>
                <w:szCs w:val="24"/>
              </w:rPr>
            </w:pPr>
          </w:p>
          <w:p w14:paraId="04827527"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1BD51F14"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§318(i):</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must maintain records sufficient to detail the history of procurement. These records will include,</w:t>
            </w:r>
            <w:r w:rsidR="001111B3" w:rsidRPr="0061432E">
              <w:rPr>
                <w:rFonts w:ascii="Times New Roman" w:hAnsi="Times New Roman" w:cs="Times New Roman"/>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but are not necessarily limited to the following: rationale for the method of procurement, selection of contract type, contractor selection or rejection, and the basis for the contract price.</w:t>
            </w:r>
          </w:p>
        </w:tc>
        <w:tc>
          <w:tcPr>
            <w:tcW w:w="8504" w:type="dxa"/>
          </w:tcPr>
          <w:p w14:paraId="62506895" w14:textId="77777777" w:rsidR="00E453AE" w:rsidRPr="0061432E" w:rsidRDefault="00E453AE" w:rsidP="00E453AE">
            <w:pPr>
              <w:rPr>
                <w:rFonts w:ascii="Times New Roman" w:hAnsi="Times New Roman" w:cs="Times New Roman"/>
                <w:i/>
                <w:sz w:val="24"/>
                <w:szCs w:val="24"/>
              </w:rPr>
            </w:pPr>
          </w:p>
        </w:tc>
      </w:tr>
      <w:tr w:rsidR="00AF4746" w:rsidRPr="0061432E" w14:paraId="4069DBF9" w14:textId="77777777" w:rsidTr="0061432E">
        <w:trPr>
          <w:trHeight w:val="70"/>
          <w:jc w:val="center"/>
        </w:trPr>
        <w:tc>
          <w:tcPr>
            <w:tcW w:w="1890" w:type="dxa"/>
            <w:shd w:val="clear" w:color="auto" w:fill="F2F2F2" w:themeFill="background1" w:themeFillShade="F2"/>
            <w:vAlign w:val="center"/>
          </w:tcPr>
          <w:p w14:paraId="58D85700"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Time and Materials Contracts</w:t>
            </w:r>
          </w:p>
          <w:p w14:paraId="7E8E8CAA"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3DB744A7" w14:textId="77777777" w:rsidR="00AF4746" w:rsidRPr="0061432E" w:rsidRDefault="00AF4746">
            <w:pPr>
              <w:rPr>
                <w:rFonts w:ascii="Times New Roman" w:hAnsi="Times New Roman" w:cs="Times New Roman"/>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§318(j)(1):</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may use a time and materials type contract only after a determination that no other contract is suitable and if the contract includes a ceiling price that the contractor exceeds at its own risk. Time and materials type contract means a contract whose cost to a non-Federal entity is the sum of:</w:t>
            </w:r>
          </w:p>
          <w:p w14:paraId="3AD18DEA" w14:textId="77777777" w:rsidR="00AF4746" w:rsidRPr="0061432E" w:rsidRDefault="00AF4746" w:rsidP="00617A4D">
            <w:pPr>
              <w:pStyle w:val="NormalWeb"/>
              <w:shd w:val="clear" w:color="auto" w:fill="FFFFFF"/>
              <w:spacing w:before="0" w:beforeAutospacing="0" w:after="0" w:afterAutospacing="0"/>
              <w:ind w:left="166"/>
              <w:rPr>
                <w:color w:val="000000"/>
              </w:rPr>
            </w:pPr>
            <w:r w:rsidRPr="0061432E">
              <w:rPr>
                <w:color w:val="000000"/>
              </w:rPr>
              <w:t>(i) The actual cost of materials; and</w:t>
            </w:r>
          </w:p>
          <w:p w14:paraId="2DCFBA91" w14:textId="5883D25F" w:rsidR="00AF4746" w:rsidRPr="008A07BC" w:rsidRDefault="00AF4746" w:rsidP="008A07BC">
            <w:pPr>
              <w:pStyle w:val="NormalWeb"/>
              <w:shd w:val="clear" w:color="auto" w:fill="FFFFFF"/>
              <w:spacing w:before="0" w:beforeAutospacing="0" w:after="0" w:afterAutospacing="0"/>
              <w:ind w:left="166"/>
              <w:rPr>
                <w:color w:val="000000"/>
              </w:rPr>
            </w:pPr>
            <w:r w:rsidRPr="0061432E">
              <w:rPr>
                <w:color w:val="000000"/>
              </w:rPr>
              <w:t>(ii) Direct labor hours charged at fixed hourly rates that reflect wages, general and administrative expenses, and profit.</w:t>
            </w:r>
          </w:p>
        </w:tc>
        <w:tc>
          <w:tcPr>
            <w:tcW w:w="8504" w:type="dxa"/>
          </w:tcPr>
          <w:p w14:paraId="1F9208D7" w14:textId="77777777" w:rsidR="00FC59AA" w:rsidRPr="0061432E" w:rsidRDefault="00FC59AA" w:rsidP="000B422D">
            <w:pPr>
              <w:tabs>
                <w:tab w:val="left" w:pos="301"/>
              </w:tabs>
              <w:rPr>
                <w:rFonts w:ascii="Times New Roman" w:hAnsi="Times New Roman" w:cs="Times New Roman"/>
                <w:i/>
                <w:sz w:val="24"/>
                <w:szCs w:val="24"/>
              </w:rPr>
            </w:pPr>
          </w:p>
        </w:tc>
      </w:tr>
      <w:tr w:rsidR="00AF4746" w:rsidRPr="0061432E" w14:paraId="738ED318" w14:textId="77777777" w:rsidTr="0061432E">
        <w:trPr>
          <w:trHeight w:val="70"/>
          <w:jc w:val="center"/>
        </w:trPr>
        <w:tc>
          <w:tcPr>
            <w:tcW w:w="1890" w:type="dxa"/>
            <w:shd w:val="clear" w:color="auto" w:fill="F2F2F2" w:themeFill="background1" w:themeFillShade="F2"/>
            <w:vAlign w:val="center"/>
          </w:tcPr>
          <w:p w14:paraId="3828BE51"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lastRenderedPageBreak/>
              <w:t>Ceiling Prices for Time and Materials Contracts</w:t>
            </w:r>
          </w:p>
        </w:tc>
        <w:tc>
          <w:tcPr>
            <w:tcW w:w="4096" w:type="dxa"/>
          </w:tcPr>
          <w:p w14:paraId="0E1A019F" w14:textId="77777777" w:rsidR="00AF4746" w:rsidRPr="0061432E" w:rsidRDefault="00AF4746" w:rsidP="00CA68EE">
            <w:pPr>
              <w:rPr>
                <w:rFonts w:ascii="Times New Roman" w:hAnsi="Times New Roman" w:cs="Times New Roman"/>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§318(j)(2):</w:t>
            </w:r>
            <w:r w:rsidRPr="0061432E">
              <w:rPr>
                <w:rFonts w:ascii="Times New Roman" w:hAnsi="Times New Roman" w:cs="Times New Roman"/>
                <w:color w:val="000000"/>
                <w:sz w:val="24"/>
                <w:szCs w:val="24"/>
                <w:shd w:val="clear" w:color="auto" w:fill="FFFFFF"/>
              </w:rPr>
              <w:t xml:space="preserve">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w:t>
            </w:r>
          </w:p>
        </w:tc>
        <w:tc>
          <w:tcPr>
            <w:tcW w:w="8504" w:type="dxa"/>
          </w:tcPr>
          <w:p w14:paraId="07B98779" w14:textId="77777777" w:rsidR="00AF4746" w:rsidRPr="0061432E" w:rsidRDefault="00AF4746" w:rsidP="000B422D">
            <w:pPr>
              <w:tabs>
                <w:tab w:val="left" w:pos="226"/>
              </w:tabs>
              <w:rPr>
                <w:rFonts w:ascii="Times New Roman" w:hAnsi="Times New Roman" w:cs="Times New Roman"/>
                <w:b/>
                <w:sz w:val="24"/>
                <w:szCs w:val="24"/>
              </w:rPr>
            </w:pPr>
          </w:p>
        </w:tc>
      </w:tr>
      <w:tr w:rsidR="00AF4746" w:rsidRPr="0061432E" w14:paraId="470AA1F3" w14:textId="77777777" w:rsidTr="0061432E">
        <w:trPr>
          <w:trHeight w:val="70"/>
          <w:jc w:val="center"/>
        </w:trPr>
        <w:tc>
          <w:tcPr>
            <w:tcW w:w="1890" w:type="dxa"/>
            <w:shd w:val="clear" w:color="auto" w:fill="F2F2F2" w:themeFill="background1" w:themeFillShade="F2"/>
            <w:vAlign w:val="center"/>
          </w:tcPr>
          <w:p w14:paraId="49452B04"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Settlement of all contractual and administrative issues</w:t>
            </w:r>
          </w:p>
          <w:p w14:paraId="7D90167C"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1BBB91AE" w14:textId="77777777" w:rsidR="00AF4746" w:rsidRPr="0061432E" w:rsidRDefault="00AF4746" w:rsidP="00CA68EE">
            <w:pPr>
              <w:rPr>
                <w:rFonts w:ascii="Times New Roman" w:hAnsi="Times New Roman" w:cs="Times New Roman"/>
                <w:i/>
                <w:color w:val="000000"/>
                <w:sz w:val="24"/>
                <w:szCs w:val="24"/>
                <w:shd w:val="clear" w:color="auto" w:fill="FFFFFF"/>
              </w:rPr>
            </w:pPr>
            <w:r w:rsidRPr="0061432E">
              <w:rPr>
                <w:rFonts w:ascii="Times New Roman" w:hAnsi="Times New Roman" w:cs="Times New Roman"/>
                <w:b/>
                <w:i/>
                <w:color w:val="000000"/>
                <w:sz w:val="24"/>
                <w:szCs w:val="24"/>
                <w:shd w:val="clear" w:color="auto" w:fill="FFFFFF"/>
              </w:rPr>
              <w:t>§318(k):</w:t>
            </w:r>
            <w:r w:rsidRPr="0061432E">
              <w:rPr>
                <w:rFonts w:ascii="Times New Roman" w:hAnsi="Times New Roman" w:cs="Times New Roman"/>
                <w:i/>
                <w:color w:val="000000"/>
                <w:sz w:val="24"/>
                <w:szCs w:val="24"/>
                <w:shd w:val="clear" w:color="auto" w:fill="FFFFFF"/>
              </w:rPr>
              <w:t xml:space="preserve"> </w:t>
            </w:r>
            <w:r w:rsidRPr="0061432E">
              <w:rPr>
                <w:rFonts w:ascii="Times New Roman" w:hAnsi="Times New Roman" w:cs="Times New Roman"/>
                <w:color w:val="000000"/>
                <w:sz w:val="24"/>
                <w:szCs w:val="24"/>
                <w:shd w:val="clear" w:color="auto" w:fill="FFFFFF"/>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p>
        </w:tc>
        <w:tc>
          <w:tcPr>
            <w:tcW w:w="8504" w:type="dxa"/>
          </w:tcPr>
          <w:p w14:paraId="07D9BBEA" w14:textId="77777777" w:rsidR="00FC59AA" w:rsidRPr="0061432E" w:rsidRDefault="00FC59AA" w:rsidP="00CA68EE">
            <w:pPr>
              <w:rPr>
                <w:rFonts w:ascii="Times New Roman" w:hAnsi="Times New Roman" w:cs="Times New Roman"/>
                <w:i/>
                <w:sz w:val="24"/>
                <w:szCs w:val="24"/>
              </w:rPr>
            </w:pPr>
          </w:p>
        </w:tc>
      </w:tr>
      <w:tr w:rsidR="00AF4746" w:rsidRPr="0061432E" w14:paraId="7C9C820B" w14:textId="77777777" w:rsidTr="0061432E">
        <w:trPr>
          <w:trHeight w:val="70"/>
          <w:jc w:val="center"/>
        </w:trPr>
        <w:tc>
          <w:tcPr>
            <w:tcW w:w="1890" w:type="dxa"/>
            <w:shd w:val="clear" w:color="auto" w:fill="F2F2F2" w:themeFill="background1" w:themeFillShade="F2"/>
            <w:vAlign w:val="center"/>
          </w:tcPr>
          <w:p w14:paraId="7DF3CBFA" w14:textId="77777777" w:rsidR="00AF4746" w:rsidRPr="0061432E" w:rsidRDefault="00AF4746" w:rsidP="0061432E">
            <w:pPr>
              <w:jc w:val="center"/>
              <w:rPr>
                <w:rFonts w:ascii="Times New Roman" w:hAnsi="Times New Roman" w:cs="Times New Roman"/>
                <w:b/>
                <w:bCs/>
                <w:sz w:val="24"/>
                <w:szCs w:val="24"/>
              </w:rPr>
            </w:pPr>
            <w:r w:rsidRPr="008A07BC">
              <w:rPr>
                <w:rFonts w:ascii="Times New Roman" w:hAnsi="Times New Roman" w:cs="Times New Roman"/>
                <w:b/>
                <w:bCs/>
                <w:sz w:val="24"/>
                <w:szCs w:val="24"/>
              </w:rPr>
              <w:t>Full and Open Competition</w:t>
            </w:r>
          </w:p>
          <w:p w14:paraId="0CE53AD2"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510E4DA6" w14:textId="77777777" w:rsidR="00AF4746" w:rsidRPr="0061432E" w:rsidRDefault="00AF4746" w:rsidP="00617A4D">
            <w:pPr>
              <w:pStyle w:val="NormalWeb"/>
              <w:shd w:val="clear" w:color="auto" w:fill="FFFFFF"/>
              <w:spacing w:before="0" w:beforeAutospacing="0" w:after="0" w:afterAutospacing="0"/>
              <w:rPr>
                <w:color w:val="000000"/>
              </w:rPr>
            </w:pPr>
            <w:r w:rsidRPr="0061432E">
              <w:rPr>
                <w:b/>
                <w:color w:val="000000"/>
              </w:rPr>
              <w:t>§319(a):</w:t>
            </w:r>
            <w:r w:rsidRPr="0061432E">
              <w:rPr>
                <w:color w:val="000000"/>
              </w:rPr>
              <w:t xml:space="preserve"> All procurement transactions must be conducted in a manner providing full and open competition consistent with the standards of this </w:t>
            </w:r>
            <w:r w:rsidRPr="0061432E">
              <w:rPr>
                <w:color w:val="000000"/>
              </w:rPr>
              <w:lastRenderedPageBreak/>
              <w:t>section.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2CC5BE76"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(1) Placing unreasonable requirements on firms in order for them to qualify to do business;</w:t>
            </w:r>
          </w:p>
          <w:p w14:paraId="39287096"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(2) Requiring unnecessary experience and excessive bonding;</w:t>
            </w:r>
          </w:p>
          <w:p w14:paraId="5F73FB6A"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(3) Noncompetitive pricing practices between firms or between affiliated companies;</w:t>
            </w:r>
          </w:p>
          <w:p w14:paraId="7F80F1F0"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(4) Noncompetitive contracts to consultants that are on retainer contracts;</w:t>
            </w:r>
          </w:p>
          <w:p w14:paraId="10CE7BA0"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(5) Organizational conflicts of interest;</w:t>
            </w:r>
          </w:p>
          <w:p w14:paraId="5C697148" w14:textId="77777777" w:rsidR="00AF4746" w:rsidRPr="0061432E" w:rsidRDefault="00AF4746" w:rsidP="00617A4D">
            <w:pPr>
              <w:pStyle w:val="NormalWeb"/>
              <w:shd w:val="clear" w:color="auto" w:fill="FFFFFF"/>
              <w:spacing w:before="0" w:beforeAutospacing="0" w:after="0" w:afterAutospacing="0"/>
              <w:ind w:hanging="14"/>
              <w:rPr>
                <w:color w:val="000000"/>
              </w:rPr>
            </w:pPr>
            <w:r w:rsidRPr="0061432E">
              <w:rPr>
                <w:color w:val="000000"/>
              </w:rPr>
              <w:t>(6) Specifying only a “brand name” product instead of allowing “an equal” product to be offered and describing the performance or other relevant requirements of the procurement; and</w:t>
            </w:r>
          </w:p>
          <w:p w14:paraId="2ABC1D9D" w14:textId="167AE50E" w:rsidR="00AF4746" w:rsidRPr="008A07BC" w:rsidRDefault="00AF4746" w:rsidP="008A07BC">
            <w:pPr>
              <w:pStyle w:val="NormalWeb"/>
              <w:shd w:val="clear" w:color="auto" w:fill="FFFFFF"/>
              <w:spacing w:before="0" w:beforeAutospacing="0" w:after="0" w:afterAutospacing="0"/>
              <w:ind w:hanging="14"/>
              <w:rPr>
                <w:color w:val="000000"/>
              </w:rPr>
            </w:pPr>
            <w:r w:rsidRPr="0061432E">
              <w:rPr>
                <w:color w:val="000000"/>
              </w:rPr>
              <w:t>(7) Any arbitrary action in the procurement process.</w:t>
            </w:r>
          </w:p>
        </w:tc>
        <w:tc>
          <w:tcPr>
            <w:tcW w:w="8504" w:type="dxa"/>
          </w:tcPr>
          <w:p w14:paraId="3167F7DC" w14:textId="77777777" w:rsidR="00AF4746" w:rsidRPr="0061432E" w:rsidRDefault="00AF4746" w:rsidP="00CA68EE">
            <w:pPr>
              <w:rPr>
                <w:rFonts w:ascii="Times New Roman" w:hAnsi="Times New Roman" w:cs="Times New Roman"/>
                <w:i/>
                <w:sz w:val="24"/>
                <w:szCs w:val="24"/>
              </w:rPr>
            </w:pPr>
          </w:p>
        </w:tc>
      </w:tr>
      <w:tr w:rsidR="00AF4746" w:rsidRPr="0061432E" w14:paraId="6231C614" w14:textId="77777777" w:rsidTr="0061432E">
        <w:trPr>
          <w:trHeight w:val="70"/>
          <w:jc w:val="center"/>
        </w:trPr>
        <w:tc>
          <w:tcPr>
            <w:tcW w:w="1890" w:type="dxa"/>
            <w:shd w:val="clear" w:color="auto" w:fill="F2F2F2" w:themeFill="background1" w:themeFillShade="F2"/>
            <w:vAlign w:val="center"/>
          </w:tcPr>
          <w:p w14:paraId="1B35D902" w14:textId="0157686F"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Competition</w:t>
            </w:r>
          </w:p>
          <w:p w14:paraId="7BD2E2B0"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644F6648" w14:textId="77777777" w:rsidR="00AF4746" w:rsidRPr="0061432E" w:rsidRDefault="00AF4746" w:rsidP="00A474C8">
            <w:pPr>
              <w:pStyle w:val="NormalWeb"/>
              <w:shd w:val="clear" w:color="auto" w:fill="FFFFFF"/>
              <w:rPr>
                <w:i/>
                <w:color w:val="000000"/>
              </w:rPr>
            </w:pPr>
            <w:r w:rsidRPr="0061432E">
              <w:rPr>
                <w:b/>
                <w:i/>
                <w:color w:val="000000"/>
                <w:shd w:val="clear" w:color="auto" w:fill="FFFFFF"/>
              </w:rPr>
              <w:t>§319(b):</w:t>
            </w:r>
            <w:r w:rsidRPr="0061432E">
              <w:rPr>
                <w:i/>
                <w:color w:val="000000"/>
                <w:shd w:val="clear" w:color="auto" w:fill="FFFFFF"/>
              </w:rPr>
              <w:t xml:space="preserve"> </w:t>
            </w:r>
            <w:r w:rsidRPr="0061432E">
              <w:rPr>
                <w:color w:val="000000"/>
                <w:shd w:val="clear" w:color="auto" w:fill="FFFFFF"/>
              </w:rPr>
              <w:t xml:space="preserve">The non-Federal entity must conduct procurements in a manner that prohibits the use of statutorily or administratively imposed state, local, or tribal geographical preferences in the evaluation of bids or proposals, except </w:t>
            </w:r>
            <w:r w:rsidRPr="0061432E">
              <w:rPr>
                <w:color w:val="000000"/>
                <w:shd w:val="clear" w:color="auto" w:fill="FFFFFF"/>
              </w:rPr>
              <w:lastRenderedPageBreak/>
              <w:t>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w:t>
            </w:r>
          </w:p>
        </w:tc>
        <w:tc>
          <w:tcPr>
            <w:tcW w:w="8504" w:type="dxa"/>
          </w:tcPr>
          <w:p w14:paraId="1297BCC6" w14:textId="1F5EBDE4" w:rsidR="00265400" w:rsidRPr="0061432E" w:rsidRDefault="00265400">
            <w:pPr>
              <w:rPr>
                <w:rFonts w:ascii="Times New Roman" w:hAnsi="Times New Roman" w:cs="Times New Roman"/>
                <w:i/>
                <w:sz w:val="24"/>
                <w:szCs w:val="24"/>
              </w:rPr>
            </w:pPr>
          </w:p>
        </w:tc>
      </w:tr>
      <w:tr w:rsidR="00AF4746" w:rsidRPr="0061432E" w14:paraId="69E0F68C" w14:textId="77777777" w:rsidTr="0061432E">
        <w:trPr>
          <w:trHeight w:val="70"/>
          <w:jc w:val="center"/>
        </w:trPr>
        <w:tc>
          <w:tcPr>
            <w:tcW w:w="1890" w:type="dxa"/>
            <w:shd w:val="clear" w:color="auto" w:fill="F2F2F2" w:themeFill="background1" w:themeFillShade="F2"/>
            <w:vAlign w:val="center"/>
          </w:tcPr>
          <w:p w14:paraId="2A88D86A" w14:textId="37FA698A"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Competition</w:t>
            </w:r>
          </w:p>
          <w:p w14:paraId="5EE32A9B"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4BE65CD1" w14:textId="77777777" w:rsidR="00AF4746" w:rsidRPr="0061432E" w:rsidRDefault="00AF4746" w:rsidP="00617A4D">
            <w:pPr>
              <w:pStyle w:val="NormalWeb"/>
              <w:shd w:val="clear" w:color="auto" w:fill="FFFFFF"/>
              <w:spacing w:before="0" w:beforeAutospacing="0" w:after="0" w:afterAutospacing="0"/>
              <w:rPr>
                <w:color w:val="000000"/>
              </w:rPr>
            </w:pPr>
            <w:r w:rsidRPr="0061432E">
              <w:rPr>
                <w:b/>
                <w:color w:val="000000"/>
              </w:rPr>
              <w:t>§319(c):</w:t>
            </w:r>
            <w:r w:rsidRPr="0061432E">
              <w:rPr>
                <w:color w:val="000000"/>
              </w:rPr>
              <w:t xml:space="preserve"> The non-Federal entity must have written procedures for procurement transactions. These procedures must ensure that all solicitations:</w:t>
            </w:r>
          </w:p>
          <w:p w14:paraId="5F8395F7" w14:textId="77777777" w:rsidR="00AF4746" w:rsidRPr="0061432E" w:rsidRDefault="00AF4746" w:rsidP="00617A4D">
            <w:pPr>
              <w:pStyle w:val="NormalWeb"/>
              <w:shd w:val="clear" w:color="auto" w:fill="FFFFFF"/>
              <w:spacing w:before="0" w:beforeAutospacing="0" w:after="0" w:afterAutospacing="0"/>
              <w:rPr>
                <w:color w:val="000000"/>
              </w:rPr>
            </w:pPr>
            <w:r w:rsidRPr="0061432E">
              <w:rPr>
                <w:color w:val="000000"/>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w:t>
            </w:r>
            <w:r w:rsidRPr="0061432E">
              <w:rPr>
                <w:color w:val="000000"/>
              </w:rPr>
              <w:lastRenderedPageBreak/>
              <w:t>as a means to define the performance or other salient requirements of procurement. The specific features of the named brand which must be met by offers must be clearly stated; and</w:t>
            </w:r>
          </w:p>
          <w:p w14:paraId="33D47C64" w14:textId="57D10654" w:rsidR="00AF4746" w:rsidRPr="008A07BC" w:rsidRDefault="00AF4746" w:rsidP="008A07BC">
            <w:pPr>
              <w:pStyle w:val="NormalWeb"/>
              <w:shd w:val="clear" w:color="auto" w:fill="FFFFFF"/>
              <w:spacing w:before="0" w:beforeAutospacing="0" w:after="0" w:afterAutospacing="0"/>
              <w:rPr>
                <w:color w:val="000000"/>
              </w:rPr>
            </w:pPr>
            <w:r w:rsidRPr="0061432E">
              <w:rPr>
                <w:color w:val="000000"/>
              </w:rPr>
              <w:t>(2) Identify all requirements which the offerors must fulfill and all other factors to be used in evaluating bids or proposals.</w:t>
            </w:r>
          </w:p>
        </w:tc>
        <w:tc>
          <w:tcPr>
            <w:tcW w:w="8504" w:type="dxa"/>
          </w:tcPr>
          <w:p w14:paraId="0F451FC8" w14:textId="70593C0F" w:rsidR="001C4814" w:rsidRPr="0061432E" w:rsidRDefault="001C4814" w:rsidP="00CA68EE">
            <w:pPr>
              <w:rPr>
                <w:rFonts w:ascii="Times New Roman" w:hAnsi="Times New Roman" w:cs="Times New Roman"/>
                <w:i/>
                <w:sz w:val="24"/>
                <w:szCs w:val="24"/>
              </w:rPr>
            </w:pPr>
          </w:p>
        </w:tc>
      </w:tr>
      <w:tr w:rsidR="00AF4746" w:rsidRPr="0061432E" w14:paraId="7D3F2894" w14:textId="77777777" w:rsidTr="0061432E">
        <w:trPr>
          <w:trHeight w:val="70"/>
          <w:jc w:val="center"/>
        </w:trPr>
        <w:tc>
          <w:tcPr>
            <w:tcW w:w="1890" w:type="dxa"/>
            <w:shd w:val="clear" w:color="auto" w:fill="F2F2F2" w:themeFill="background1" w:themeFillShade="F2"/>
            <w:vAlign w:val="center"/>
          </w:tcPr>
          <w:p w14:paraId="765F5038" w14:textId="7F46F735"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Competition</w:t>
            </w:r>
          </w:p>
          <w:p w14:paraId="41955BBF"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19ED7B57" w14:textId="77777777" w:rsidR="00AF4746" w:rsidRPr="0061432E" w:rsidRDefault="00AF4746" w:rsidP="00990F29">
            <w:pPr>
              <w:pStyle w:val="NormalWeb"/>
              <w:shd w:val="clear" w:color="auto" w:fill="FFFFFF"/>
              <w:rPr>
                <w:color w:val="000000"/>
              </w:rPr>
            </w:pPr>
            <w:r w:rsidRPr="0061432E">
              <w:rPr>
                <w:b/>
                <w:i/>
                <w:color w:val="000000"/>
                <w:shd w:val="clear" w:color="auto" w:fill="FFFFFF"/>
              </w:rPr>
              <w:t>§318(d):</w:t>
            </w:r>
            <w:r w:rsidRPr="0061432E">
              <w:rPr>
                <w:color w:val="000000"/>
                <w:shd w:val="clear" w:color="auto" w:fill="FFFFFF"/>
              </w:rPr>
              <w:t xml:space="preserv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w:t>
            </w:r>
          </w:p>
        </w:tc>
        <w:tc>
          <w:tcPr>
            <w:tcW w:w="8504" w:type="dxa"/>
          </w:tcPr>
          <w:p w14:paraId="32C651DC" w14:textId="25BDF206" w:rsidR="001C4814" w:rsidRPr="0061432E" w:rsidRDefault="001C4814" w:rsidP="00CA68EE">
            <w:pPr>
              <w:rPr>
                <w:rFonts w:ascii="Times New Roman" w:hAnsi="Times New Roman" w:cs="Times New Roman"/>
                <w:i/>
                <w:sz w:val="24"/>
                <w:szCs w:val="24"/>
              </w:rPr>
            </w:pPr>
          </w:p>
        </w:tc>
      </w:tr>
      <w:tr w:rsidR="00AF4746" w:rsidRPr="0061432E" w14:paraId="14F53B24" w14:textId="77777777" w:rsidTr="0061432E">
        <w:trPr>
          <w:trHeight w:val="70"/>
          <w:jc w:val="center"/>
        </w:trPr>
        <w:tc>
          <w:tcPr>
            <w:tcW w:w="1890" w:type="dxa"/>
            <w:shd w:val="clear" w:color="auto" w:fill="F2F2F2" w:themeFill="background1" w:themeFillShade="F2"/>
            <w:vAlign w:val="center"/>
          </w:tcPr>
          <w:p w14:paraId="7B04B6CA" w14:textId="6086AFB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Micro-Purchases</w:t>
            </w:r>
          </w:p>
        </w:tc>
        <w:tc>
          <w:tcPr>
            <w:tcW w:w="4096" w:type="dxa"/>
          </w:tcPr>
          <w:p w14:paraId="7EE55B7D"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§320(a):</w:t>
            </w:r>
            <w:r w:rsidRPr="0061432E">
              <w:rPr>
                <w:i/>
                <w:color w:val="000000"/>
                <w:shd w:val="clear" w:color="auto" w:fill="FFFFFF"/>
              </w:rPr>
              <w:t xml:space="preserve"> </w:t>
            </w:r>
            <w:r w:rsidRPr="0061432E">
              <w:rPr>
                <w:b/>
                <w:i/>
                <w:color w:val="000000"/>
                <w:shd w:val="clear" w:color="auto" w:fill="FFFFFF"/>
              </w:rPr>
              <w:t>Procurement by micro-purchases.</w:t>
            </w:r>
            <w:r w:rsidRPr="0061432E">
              <w:rPr>
                <w:i/>
                <w:color w:val="000000"/>
                <w:shd w:val="clear" w:color="auto" w:fill="FFFFFF"/>
              </w:rPr>
              <w:t xml:space="preserve"> </w:t>
            </w:r>
            <w:r w:rsidRPr="0061432E">
              <w:rPr>
                <w:color w:val="000000"/>
                <w:shd w:val="clear" w:color="auto" w:fill="FFFFFF"/>
              </w:rPr>
              <w:t xml:space="preserve">Procurement by micro-purchase is the acquisition of supplies or services, the aggregate dollar amount of which does not exceed the micro-purchase threshold (§200.67 Micro-purchase; </w:t>
            </w:r>
            <w:r w:rsidRPr="0061432E">
              <w:rPr>
                <w:color w:val="000000"/>
                <w:u w:val="single"/>
                <w:shd w:val="clear" w:color="auto" w:fill="FFFFFF"/>
              </w:rPr>
              <w:t>$3,000 or less</w:t>
            </w:r>
            <w:r w:rsidRPr="0061432E">
              <w:rPr>
                <w:color w:val="000000"/>
                <w:shd w:val="clear" w:color="auto" w:fill="FFFFFF"/>
              </w:rPr>
              <w:t>). To the extent practicable, the non-Federal entity must distribute micro-purchases equitably among qualified suppliers. Micro-purchases may be awarded without soliciting competitive quotations if the non-Federal entity considers the price to be reasonable.</w:t>
            </w:r>
          </w:p>
        </w:tc>
        <w:tc>
          <w:tcPr>
            <w:tcW w:w="8504" w:type="dxa"/>
          </w:tcPr>
          <w:p w14:paraId="33E28AD7" w14:textId="77777777" w:rsidR="00CC2F38" w:rsidRPr="0061432E" w:rsidRDefault="00CC2F38" w:rsidP="00617A4D">
            <w:pPr>
              <w:rPr>
                <w:rFonts w:ascii="Times New Roman" w:hAnsi="Times New Roman" w:cs="Times New Roman"/>
                <w:i/>
                <w:sz w:val="24"/>
                <w:szCs w:val="24"/>
              </w:rPr>
            </w:pPr>
          </w:p>
        </w:tc>
      </w:tr>
      <w:tr w:rsidR="00AF4746" w:rsidRPr="0061432E" w14:paraId="6E7BC9B4" w14:textId="77777777" w:rsidTr="0061432E">
        <w:trPr>
          <w:trHeight w:val="70"/>
          <w:jc w:val="center"/>
        </w:trPr>
        <w:tc>
          <w:tcPr>
            <w:tcW w:w="1890" w:type="dxa"/>
            <w:shd w:val="clear" w:color="auto" w:fill="F2F2F2" w:themeFill="background1" w:themeFillShade="F2"/>
            <w:vAlign w:val="center"/>
          </w:tcPr>
          <w:p w14:paraId="1EEA902C" w14:textId="2A0FE0AA"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Small Purchases</w:t>
            </w:r>
          </w:p>
        </w:tc>
        <w:tc>
          <w:tcPr>
            <w:tcW w:w="4096" w:type="dxa"/>
          </w:tcPr>
          <w:p w14:paraId="27A9B563"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§320(b):</w:t>
            </w:r>
            <w:r w:rsidRPr="0061432E">
              <w:rPr>
                <w:color w:val="000000"/>
                <w:shd w:val="clear" w:color="auto" w:fill="FFFFFF"/>
              </w:rPr>
              <w:t xml:space="preserve"> Procurement by small purchase procedures. Small purchase procedures are those relatively simple </w:t>
            </w:r>
            <w:r w:rsidRPr="0061432E">
              <w:rPr>
                <w:color w:val="000000"/>
                <w:shd w:val="clear" w:color="auto" w:fill="FFFFFF"/>
              </w:rPr>
              <w:lastRenderedPageBreak/>
              <w:t>and informal procurement methods for securing services, supplies, or other property that do not cost more than the Simplified Acquisition Threshold. If small purchase procedures are used, price or rate quotations must be obtained from an adequate number of qualified sources.</w:t>
            </w:r>
          </w:p>
        </w:tc>
        <w:tc>
          <w:tcPr>
            <w:tcW w:w="8504" w:type="dxa"/>
          </w:tcPr>
          <w:p w14:paraId="3D57DB10" w14:textId="6F7C02C6" w:rsidR="00AF4746" w:rsidRPr="0061432E" w:rsidRDefault="00AF4746" w:rsidP="00CA68EE">
            <w:pPr>
              <w:rPr>
                <w:rFonts w:ascii="Times New Roman" w:hAnsi="Times New Roman" w:cs="Times New Roman"/>
                <w:i/>
                <w:sz w:val="24"/>
                <w:szCs w:val="24"/>
              </w:rPr>
            </w:pPr>
          </w:p>
        </w:tc>
      </w:tr>
      <w:tr w:rsidR="00AF4746" w:rsidRPr="0061432E" w14:paraId="0DF9CC2B" w14:textId="77777777" w:rsidTr="0061432E">
        <w:trPr>
          <w:trHeight w:val="70"/>
          <w:jc w:val="center"/>
        </w:trPr>
        <w:tc>
          <w:tcPr>
            <w:tcW w:w="1890" w:type="dxa"/>
            <w:shd w:val="clear" w:color="auto" w:fill="F2F2F2" w:themeFill="background1" w:themeFillShade="F2"/>
            <w:vAlign w:val="center"/>
          </w:tcPr>
          <w:p w14:paraId="1DF5F6E1" w14:textId="3E2AA3CA"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Sealed Bids</w:t>
            </w:r>
          </w:p>
        </w:tc>
        <w:tc>
          <w:tcPr>
            <w:tcW w:w="4096" w:type="dxa"/>
          </w:tcPr>
          <w:p w14:paraId="000CCC37"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§320(c):</w:t>
            </w:r>
            <w:r w:rsidRPr="0061432E">
              <w:rPr>
                <w:i/>
                <w:color w:val="000000"/>
                <w:shd w:val="clear" w:color="auto" w:fill="FFFFFF"/>
              </w:rPr>
              <w:t xml:space="preserve"> </w:t>
            </w:r>
            <w:r w:rsidRPr="0061432E">
              <w:rPr>
                <w:color w:val="000000"/>
                <w:shd w:val="clear" w:color="auto" w:fill="FFFFFF"/>
              </w:rPr>
              <w:t>Procurement by sealed bids (formal advertising). Bids are publicly solicited and a firm fixed price contract (lump sum or unit price) is awarded to the responsible bidder whose bid, conforming with all the material terms and conditions of the invitation for bids, is the lowest in price. The sealed bid method is the preferred method for procuring construction, if the conditions in paragraph (c)(1) of this section apply.</w:t>
            </w:r>
          </w:p>
        </w:tc>
        <w:tc>
          <w:tcPr>
            <w:tcW w:w="8504" w:type="dxa"/>
          </w:tcPr>
          <w:p w14:paraId="5CE9BCB8" w14:textId="39050E71" w:rsidR="00944D77" w:rsidRPr="0061432E" w:rsidRDefault="00944D77">
            <w:pPr>
              <w:rPr>
                <w:rFonts w:ascii="Times New Roman" w:hAnsi="Times New Roman" w:cs="Times New Roman"/>
                <w:i/>
                <w:sz w:val="24"/>
                <w:szCs w:val="24"/>
              </w:rPr>
            </w:pPr>
          </w:p>
        </w:tc>
      </w:tr>
      <w:tr w:rsidR="00AF4746" w:rsidRPr="0061432E" w14:paraId="02CD6345" w14:textId="77777777" w:rsidTr="0061432E">
        <w:trPr>
          <w:trHeight w:val="70"/>
          <w:jc w:val="center"/>
        </w:trPr>
        <w:tc>
          <w:tcPr>
            <w:tcW w:w="1890" w:type="dxa"/>
            <w:shd w:val="clear" w:color="auto" w:fill="F2F2F2" w:themeFill="background1" w:themeFillShade="F2"/>
            <w:vAlign w:val="center"/>
          </w:tcPr>
          <w:p w14:paraId="431A419F" w14:textId="04DA418C"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Competitive Proposals</w:t>
            </w:r>
          </w:p>
        </w:tc>
        <w:tc>
          <w:tcPr>
            <w:tcW w:w="4096" w:type="dxa"/>
          </w:tcPr>
          <w:p w14:paraId="61544CD9" w14:textId="77777777" w:rsidR="00AF4746" w:rsidRPr="0061432E" w:rsidRDefault="00AF4746" w:rsidP="00617A4D">
            <w:pPr>
              <w:pStyle w:val="NormalWeb"/>
              <w:shd w:val="clear" w:color="auto" w:fill="FFFFFF"/>
              <w:spacing w:before="0" w:beforeAutospacing="0" w:after="0" w:afterAutospacing="0"/>
              <w:rPr>
                <w:color w:val="000000"/>
                <w:shd w:val="clear" w:color="auto" w:fill="FFFFFF"/>
              </w:rPr>
            </w:pPr>
            <w:r w:rsidRPr="0061432E">
              <w:rPr>
                <w:b/>
                <w:i/>
                <w:color w:val="000000"/>
                <w:shd w:val="clear" w:color="auto" w:fill="FFFFFF"/>
              </w:rPr>
              <w:t>320(d):</w:t>
            </w:r>
            <w:r w:rsidRPr="0061432E">
              <w:rPr>
                <w:i/>
                <w:color w:val="000000"/>
                <w:shd w:val="clear" w:color="auto" w:fill="FFFFFF"/>
              </w:rPr>
              <w:t xml:space="preserve"> </w:t>
            </w:r>
            <w:r w:rsidRPr="0061432E">
              <w:rPr>
                <w:color w:val="000000"/>
                <w:shd w:val="clear" w:color="auto" w:fill="FFFFFF"/>
              </w:rPr>
              <w:t>Procurement by competitive proposals. The technique of competitive proposals is normally conducted with more than one source submitting an offer, and either a fixed price or cost-reimbursement type contract is awarded. It is generally used when conditions are not appropriate for the use of sealed bids. If this method is used, the following requirements apply:</w:t>
            </w:r>
          </w:p>
          <w:p w14:paraId="7A1503BC" w14:textId="77777777" w:rsidR="00C15325" w:rsidRPr="0061432E" w:rsidRDefault="00C15325" w:rsidP="00617A4D">
            <w:pPr>
              <w:pStyle w:val="NormalWeb"/>
              <w:shd w:val="clear" w:color="auto" w:fill="FFFFFF"/>
              <w:spacing w:before="0" w:beforeAutospacing="0" w:after="0" w:afterAutospacing="0"/>
            </w:pPr>
            <w:r w:rsidRPr="0061432E">
              <w:t xml:space="preserve">(1) Requests for proposals must be publicized and identify all evaluation factors and their relative importance. Any response to publicized requests for proposals must be considered to the maximum extent practical; </w:t>
            </w:r>
          </w:p>
          <w:p w14:paraId="133D3A83" w14:textId="77777777" w:rsidR="00C15325" w:rsidRPr="0061432E" w:rsidRDefault="00C15325" w:rsidP="00617A4D">
            <w:pPr>
              <w:pStyle w:val="NormalWeb"/>
              <w:shd w:val="clear" w:color="auto" w:fill="FFFFFF"/>
              <w:spacing w:before="0" w:beforeAutospacing="0" w:after="0" w:afterAutospacing="0"/>
            </w:pPr>
            <w:r w:rsidRPr="0061432E">
              <w:lastRenderedPageBreak/>
              <w:t xml:space="preserve">(2) Proposals must be solicited from an adequate number of qualified sources; </w:t>
            </w:r>
          </w:p>
          <w:p w14:paraId="2EFA66C4" w14:textId="77777777" w:rsidR="00C15325" w:rsidRPr="0061432E" w:rsidRDefault="00C15325" w:rsidP="00617A4D">
            <w:pPr>
              <w:pStyle w:val="NormalWeb"/>
              <w:shd w:val="clear" w:color="auto" w:fill="FFFFFF"/>
              <w:spacing w:before="0" w:beforeAutospacing="0" w:after="0" w:afterAutospacing="0"/>
            </w:pPr>
            <w:r w:rsidRPr="0061432E">
              <w:t xml:space="preserve">(3) The non-Federal entity must have a written method for conducting technical evaluations of the proposals received and for selecting recipients; </w:t>
            </w:r>
          </w:p>
          <w:p w14:paraId="5745495D" w14:textId="77777777" w:rsidR="00C15325" w:rsidRPr="0061432E" w:rsidRDefault="00C15325" w:rsidP="00617A4D">
            <w:pPr>
              <w:pStyle w:val="NormalWeb"/>
              <w:shd w:val="clear" w:color="auto" w:fill="FFFFFF"/>
              <w:spacing w:before="0" w:beforeAutospacing="0" w:after="0" w:afterAutospacing="0"/>
            </w:pPr>
            <w:r w:rsidRPr="0061432E">
              <w:t xml:space="preserve">(4) Contracts must be awarded to the responsible firm whose proposal is most advantageous to the program, with price and other factors considered; and </w:t>
            </w:r>
          </w:p>
          <w:p w14:paraId="181C5EA9" w14:textId="77777777" w:rsidR="00C15325" w:rsidRPr="0061432E" w:rsidRDefault="00C15325" w:rsidP="00617A4D">
            <w:pPr>
              <w:pStyle w:val="NormalWeb"/>
              <w:shd w:val="clear" w:color="auto" w:fill="FFFFFF"/>
              <w:spacing w:before="0" w:beforeAutospacing="0" w:after="0" w:afterAutospacing="0"/>
              <w:rPr>
                <w:i/>
                <w:color w:val="000000"/>
                <w:shd w:val="clear" w:color="auto" w:fill="FFFFFF"/>
              </w:rPr>
            </w:pPr>
            <w:r w:rsidRPr="0061432E">
              <w:t>(5) The non-Federal entity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w:t>
            </w:r>
          </w:p>
        </w:tc>
        <w:tc>
          <w:tcPr>
            <w:tcW w:w="8504" w:type="dxa"/>
          </w:tcPr>
          <w:p w14:paraId="384D2691" w14:textId="69CC067A" w:rsidR="00AF4746" w:rsidRPr="0061432E" w:rsidRDefault="00AF4746">
            <w:pPr>
              <w:rPr>
                <w:rFonts w:ascii="Times New Roman" w:hAnsi="Times New Roman" w:cs="Times New Roman"/>
                <w:i/>
                <w:sz w:val="24"/>
                <w:szCs w:val="24"/>
              </w:rPr>
            </w:pPr>
          </w:p>
        </w:tc>
      </w:tr>
      <w:tr w:rsidR="00AF4746" w:rsidRPr="0061432E" w14:paraId="6DE3573C" w14:textId="77777777" w:rsidTr="0061432E">
        <w:trPr>
          <w:trHeight w:val="70"/>
          <w:jc w:val="center"/>
        </w:trPr>
        <w:tc>
          <w:tcPr>
            <w:tcW w:w="1890" w:type="dxa"/>
            <w:shd w:val="clear" w:color="auto" w:fill="F2F2F2" w:themeFill="background1" w:themeFillShade="F2"/>
            <w:vAlign w:val="center"/>
          </w:tcPr>
          <w:p w14:paraId="1C65F256" w14:textId="44113E13"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Noncompetitive Bids</w:t>
            </w:r>
          </w:p>
        </w:tc>
        <w:tc>
          <w:tcPr>
            <w:tcW w:w="4096" w:type="dxa"/>
          </w:tcPr>
          <w:p w14:paraId="0E0E7D6D" w14:textId="77777777" w:rsidR="00AF4746" w:rsidRPr="0061432E" w:rsidRDefault="00AF4746" w:rsidP="00617A4D">
            <w:pPr>
              <w:pStyle w:val="NormalWeb"/>
              <w:shd w:val="clear" w:color="auto" w:fill="FFFFFF"/>
              <w:spacing w:before="0" w:beforeAutospacing="0" w:after="0" w:afterAutospacing="0"/>
              <w:rPr>
                <w:color w:val="000000"/>
                <w:shd w:val="clear" w:color="auto" w:fill="FFFFFF"/>
              </w:rPr>
            </w:pPr>
            <w:r w:rsidRPr="0061432E">
              <w:rPr>
                <w:b/>
                <w:i/>
                <w:color w:val="000000"/>
                <w:shd w:val="clear" w:color="auto" w:fill="FFFFFF"/>
              </w:rPr>
              <w:t>§320(f):</w:t>
            </w:r>
            <w:r w:rsidRPr="0061432E">
              <w:rPr>
                <w:color w:val="000000"/>
                <w:shd w:val="clear" w:color="auto" w:fill="FFFFFF"/>
              </w:rPr>
              <w:t xml:space="preserve"> Procurement by noncompetitive proposals. Procurement by noncompetitive proposals is procurement through solicitation of a proposal from only one source and may be used only when one or more of the following circumstances apply:</w:t>
            </w:r>
          </w:p>
          <w:p w14:paraId="5CEE8135" w14:textId="77777777" w:rsidR="006B7F61" w:rsidRPr="0061432E" w:rsidRDefault="006B7F61" w:rsidP="00617A4D">
            <w:pPr>
              <w:pStyle w:val="NormalWeb"/>
              <w:shd w:val="clear" w:color="auto" w:fill="FFFFFF"/>
              <w:spacing w:before="0" w:beforeAutospacing="0" w:after="0" w:afterAutospacing="0"/>
            </w:pPr>
            <w:r w:rsidRPr="0061432E">
              <w:t xml:space="preserve">(1) The item is available only from a single source; </w:t>
            </w:r>
          </w:p>
          <w:p w14:paraId="44DFBA73" w14:textId="77777777" w:rsidR="006B7F61" w:rsidRPr="0061432E" w:rsidRDefault="006B7F61" w:rsidP="00617A4D">
            <w:pPr>
              <w:pStyle w:val="NormalWeb"/>
              <w:shd w:val="clear" w:color="auto" w:fill="FFFFFF"/>
              <w:spacing w:before="0" w:beforeAutospacing="0" w:after="0" w:afterAutospacing="0"/>
            </w:pPr>
            <w:r w:rsidRPr="0061432E">
              <w:lastRenderedPageBreak/>
              <w:t xml:space="preserve">(2) The public exigency or emergency for the requirement will not permit a delay resulting from competitive solicitation; </w:t>
            </w:r>
          </w:p>
          <w:p w14:paraId="5600B2B4" w14:textId="77777777" w:rsidR="006B7F61" w:rsidRPr="0061432E" w:rsidRDefault="006B7F61" w:rsidP="00617A4D">
            <w:pPr>
              <w:pStyle w:val="NormalWeb"/>
              <w:shd w:val="clear" w:color="auto" w:fill="FFFFFF"/>
              <w:spacing w:before="0" w:beforeAutospacing="0" w:after="0" w:afterAutospacing="0"/>
              <w:rPr>
                <w:color w:val="000000"/>
                <w:shd w:val="clear" w:color="auto" w:fill="FFFFFF"/>
              </w:rPr>
            </w:pPr>
            <w:r w:rsidRPr="0061432E">
              <w:t>(3) The Federal awarding agency or pass-through entity expressly authorizes noncompetitive proposals in response to a written request from the non-Federal entity; or (4) After solicitation of a number of sources, competition is determined inadequate.</w:t>
            </w:r>
          </w:p>
        </w:tc>
        <w:tc>
          <w:tcPr>
            <w:tcW w:w="8504" w:type="dxa"/>
          </w:tcPr>
          <w:p w14:paraId="3A5BC6B8" w14:textId="398DA25A" w:rsidR="00356E42" w:rsidRPr="0061432E" w:rsidRDefault="00356E42" w:rsidP="00CA68EE">
            <w:pPr>
              <w:rPr>
                <w:rFonts w:ascii="Times New Roman" w:hAnsi="Times New Roman" w:cs="Times New Roman"/>
                <w:i/>
                <w:sz w:val="24"/>
                <w:szCs w:val="24"/>
              </w:rPr>
            </w:pPr>
          </w:p>
        </w:tc>
      </w:tr>
      <w:tr w:rsidR="00AF4746" w:rsidRPr="0061432E" w14:paraId="6C0BDE3C" w14:textId="77777777" w:rsidTr="0061432E">
        <w:trPr>
          <w:trHeight w:val="70"/>
          <w:jc w:val="center"/>
        </w:trPr>
        <w:tc>
          <w:tcPr>
            <w:tcW w:w="1890" w:type="dxa"/>
            <w:shd w:val="clear" w:color="auto" w:fill="F2F2F2" w:themeFill="background1" w:themeFillShade="F2"/>
            <w:vAlign w:val="center"/>
          </w:tcPr>
          <w:p w14:paraId="45968332" w14:textId="64872ACE"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Contracting with small and minority businesses, women’s business enterprises, and labor surplus area firms</w:t>
            </w:r>
          </w:p>
        </w:tc>
        <w:tc>
          <w:tcPr>
            <w:tcW w:w="4096" w:type="dxa"/>
          </w:tcPr>
          <w:p w14:paraId="3A33EC4E"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§321(a):</w:t>
            </w:r>
            <w:r w:rsidRPr="0061432E">
              <w:rPr>
                <w:color w:val="000000"/>
                <w:shd w:val="clear" w:color="auto" w:fill="FFFFFF"/>
              </w:rPr>
              <w:t xml:space="preserve"> The non-Federal entity must take all necessary affirmative steps to assure that minority businesses, women's business enterprises, and labor surplus area firms are used when possible.</w:t>
            </w:r>
          </w:p>
        </w:tc>
        <w:tc>
          <w:tcPr>
            <w:tcW w:w="8504" w:type="dxa"/>
          </w:tcPr>
          <w:p w14:paraId="48E09DA0" w14:textId="5306C829" w:rsidR="0074064E" w:rsidRPr="0061432E" w:rsidRDefault="0074064E" w:rsidP="00CA68EE">
            <w:pPr>
              <w:rPr>
                <w:rFonts w:ascii="Times New Roman" w:hAnsi="Times New Roman" w:cs="Times New Roman"/>
                <w:i/>
                <w:sz w:val="24"/>
                <w:szCs w:val="24"/>
              </w:rPr>
            </w:pPr>
          </w:p>
        </w:tc>
      </w:tr>
      <w:tr w:rsidR="00AF4746" w:rsidRPr="0061432E" w14:paraId="54A9B01F" w14:textId="77777777" w:rsidTr="0061432E">
        <w:trPr>
          <w:trHeight w:val="70"/>
          <w:jc w:val="center"/>
        </w:trPr>
        <w:tc>
          <w:tcPr>
            <w:tcW w:w="1890" w:type="dxa"/>
            <w:shd w:val="clear" w:color="auto" w:fill="F2F2F2" w:themeFill="background1" w:themeFillShade="F2"/>
            <w:vAlign w:val="center"/>
          </w:tcPr>
          <w:p w14:paraId="1E599F35" w14:textId="77777777" w:rsidR="00AF4746" w:rsidRPr="0061432E" w:rsidRDefault="00B63A7C"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w:t>
            </w:r>
            <w:r w:rsidR="00AF4746" w:rsidRPr="0061432E">
              <w:rPr>
                <w:rFonts w:ascii="Times New Roman" w:hAnsi="Times New Roman" w:cs="Times New Roman"/>
                <w:b/>
                <w:bCs/>
                <w:sz w:val="24"/>
                <w:szCs w:val="24"/>
              </w:rPr>
              <w:t>ontracting with small and minority businesses, women’s business enterprises, and labor surplus area firms</w:t>
            </w:r>
            <w:r w:rsidR="00AF3A44" w:rsidRPr="0061432E">
              <w:rPr>
                <w:rFonts w:ascii="Times New Roman" w:hAnsi="Times New Roman" w:cs="Times New Roman"/>
                <w:b/>
                <w:bCs/>
                <w:sz w:val="24"/>
                <w:szCs w:val="24"/>
              </w:rPr>
              <w:t>: Affirmative Steps.</w:t>
            </w:r>
          </w:p>
        </w:tc>
        <w:tc>
          <w:tcPr>
            <w:tcW w:w="4096" w:type="dxa"/>
          </w:tcPr>
          <w:p w14:paraId="6F3D6E05" w14:textId="77777777" w:rsidR="00AF4746" w:rsidRPr="0061432E" w:rsidRDefault="00AF4746" w:rsidP="00617A4D">
            <w:pPr>
              <w:pStyle w:val="NormalWeb"/>
              <w:shd w:val="clear" w:color="auto" w:fill="FFFFFF"/>
              <w:spacing w:before="0" w:beforeAutospacing="0" w:after="0" w:afterAutospacing="0"/>
              <w:rPr>
                <w:color w:val="000000"/>
                <w:shd w:val="clear" w:color="auto" w:fill="FFFFFF"/>
              </w:rPr>
            </w:pPr>
            <w:r w:rsidRPr="0061432E">
              <w:rPr>
                <w:b/>
                <w:i/>
                <w:color w:val="000000"/>
                <w:shd w:val="clear" w:color="auto" w:fill="FFFFFF"/>
              </w:rPr>
              <w:t>§321(b):</w:t>
            </w:r>
            <w:r w:rsidRPr="0061432E">
              <w:rPr>
                <w:color w:val="000000"/>
                <w:shd w:val="clear" w:color="auto" w:fill="FFFFFF"/>
              </w:rPr>
              <w:t xml:space="preserve"> Affirmative steps: </w:t>
            </w:r>
          </w:p>
          <w:p w14:paraId="22B2B7BF" w14:textId="77777777" w:rsidR="00AF4746" w:rsidRPr="0061432E" w:rsidRDefault="00AF4746" w:rsidP="00617A4D">
            <w:pPr>
              <w:pStyle w:val="NormalWeb"/>
              <w:numPr>
                <w:ilvl w:val="0"/>
                <w:numId w:val="2"/>
              </w:numPr>
              <w:shd w:val="clear" w:color="auto" w:fill="FFFFFF"/>
              <w:spacing w:before="0" w:beforeAutospacing="0" w:after="0" w:afterAutospacing="0"/>
              <w:ind w:left="346"/>
              <w:rPr>
                <w:color w:val="000000"/>
                <w:shd w:val="clear" w:color="auto" w:fill="FFFFFF"/>
              </w:rPr>
            </w:pPr>
            <w:r w:rsidRPr="0061432E">
              <w:rPr>
                <w:color w:val="000000"/>
                <w:shd w:val="clear" w:color="auto" w:fill="FFFFFF"/>
              </w:rPr>
              <w:t>Placing qualified small and minority business enterprises on solicitation lists;</w:t>
            </w:r>
          </w:p>
          <w:p w14:paraId="3D3FCCAA" w14:textId="77777777" w:rsidR="00AF4746" w:rsidRPr="0061432E" w:rsidRDefault="00AF4746" w:rsidP="00617A4D">
            <w:pPr>
              <w:pStyle w:val="NormalWeb"/>
              <w:numPr>
                <w:ilvl w:val="0"/>
                <w:numId w:val="2"/>
              </w:numPr>
              <w:shd w:val="clear" w:color="auto" w:fill="FFFFFF"/>
              <w:spacing w:before="0" w:beforeAutospacing="0" w:after="0" w:afterAutospacing="0"/>
              <w:ind w:left="346"/>
              <w:rPr>
                <w:color w:val="000000"/>
                <w:shd w:val="clear" w:color="auto" w:fill="FFFFFF"/>
              </w:rPr>
            </w:pPr>
            <w:r w:rsidRPr="0061432E">
              <w:rPr>
                <w:color w:val="000000"/>
                <w:shd w:val="clear" w:color="auto" w:fill="FFFFFF"/>
              </w:rPr>
              <w:t>Assuring that small and minority businesses, and women’s business enterprises are solicited whenever they are potential sources;</w:t>
            </w:r>
          </w:p>
          <w:p w14:paraId="539B6B06" w14:textId="77777777" w:rsidR="00AF4746" w:rsidRPr="0061432E" w:rsidRDefault="00AF4746" w:rsidP="00617A4D">
            <w:pPr>
              <w:pStyle w:val="NormalWeb"/>
              <w:numPr>
                <w:ilvl w:val="0"/>
                <w:numId w:val="2"/>
              </w:numPr>
              <w:shd w:val="clear" w:color="auto" w:fill="FFFFFF"/>
              <w:ind w:left="346"/>
              <w:rPr>
                <w:color w:val="000000"/>
                <w:shd w:val="clear" w:color="auto" w:fill="FFFFFF"/>
              </w:rPr>
            </w:pPr>
            <w:r w:rsidRPr="0061432E">
              <w:rPr>
                <w:color w:val="000000"/>
                <w:shd w:val="clear" w:color="auto" w:fill="FFFFFF"/>
              </w:rPr>
              <w:t>Dividing total requirements, when economically feasible, into smaller tasks or quantities to permit maximum participation by small and minority businesses, and women’s business enterprises;</w:t>
            </w:r>
          </w:p>
          <w:p w14:paraId="0C65BA25" w14:textId="77777777" w:rsidR="00AF4746" w:rsidRPr="0061432E" w:rsidRDefault="00AF4746" w:rsidP="00617A4D">
            <w:pPr>
              <w:pStyle w:val="NormalWeb"/>
              <w:numPr>
                <w:ilvl w:val="0"/>
                <w:numId w:val="2"/>
              </w:numPr>
              <w:shd w:val="clear" w:color="auto" w:fill="FFFFFF"/>
              <w:ind w:left="346"/>
              <w:rPr>
                <w:color w:val="000000"/>
                <w:shd w:val="clear" w:color="auto" w:fill="FFFFFF"/>
              </w:rPr>
            </w:pPr>
            <w:r w:rsidRPr="0061432E">
              <w:rPr>
                <w:color w:val="000000"/>
                <w:shd w:val="clear" w:color="auto" w:fill="FFFFFF"/>
              </w:rPr>
              <w:t xml:space="preserve">Establishing delivery schedules, where the requirement permits, </w:t>
            </w:r>
            <w:r w:rsidRPr="0061432E">
              <w:rPr>
                <w:color w:val="000000"/>
                <w:shd w:val="clear" w:color="auto" w:fill="FFFFFF"/>
              </w:rPr>
              <w:lastRenderedPageBreak/>
              <w:t xml:space="preserve">which encourage participation by small and minority businesses, and women’s business enterprises; </w:t>
            </w:r>
          </w:p>
          <w:p w14:paraId="35A2E5AC" w14:textId="77777777" w:rsidR="00AF4746" w:rsidRPr="0061432E" w:rsidRDefault="00AF4746" w:rsidP="00617A4D">
            <w:pPr>
              <w:pStyle w:val="NormalWeb"/>
              <w:numPr>
                <w:ilvl w:val="0"/>
                <w:numId w:val="2"/>
              </w:numPr>
              <w:shd w:val="clear" w:color="auto" w:fill="FFFFFF"/>
              <w:ind w:left="346"/>
              <w:rPr>
                <w:color w:val="000000"/>
                <w:shd w:val="clear" w:color="auto" w:fill="FFFFFF"/>
              </w:rPr>
            </w:pPr>
            <w:r w:rsidRPr="0061432E">
              <w:rPr>
                <w:color w:val="000000"/>
                <w:shd w:val="clear" w:color="auto" w:fill="FFFFFF"/>
              </w:rPr>
              <w:t>Using the services and assistance, as appropriate, of such organizations as the Small Business Administration and the Minority Business Development Agency of the Department of Commerce; and</w:t>
            </w:r>
          </w:p>
          <w:p w14:paraId="4551D538" w14:textId="77777777" w:rsidR="00AF4746" w:rsidRPr="0061432E" w:rsidRDefault="00AF4746" w:rsidP="00617A4D">
            <w:pPr>
              <w:pStyle w:val="NormalWeb"/>
              <w:numPr>
                <w:ilvl w:val="0"/>
                <w:numId w:val="2"/>
              </w:numPr>
              <w:shd w:val="clear" w:color="auto" w:fill="FFFFFF"/>
              <w:ind w:left="346"/>
              <w:rPr>
                <w:color w:val="000000"/>
                <w:shd w:val="clear" w:color="auto" w:fill="FFFFFF"/>
              </w:rPr>
            </w:pPr>
            <w:r w:rsidRPr="0061432E">
              <w:rPr>
                <w:color w:val="000000"/>
                <w:shd w:val="clear" w:color="auto" w:fill="FFFFFF"/>
              </w:rPr>
              <w:t>Requiring the prime contractor, if subcontracts are to be let, to take the affirmative steps listed in 1-5 of this section.</w:t>
            </w:r>
          </w:p>
        </w:tc>
        <w:tc>
          <w:tcPr>
            <w:tcW w:w="8504" w:type="dxa"/>
          </w:tcPr>
          <w:p w14:paraId="56E61B14" w14:textId="691F08E0" w:rsidR="0074064E" w:rsidRPr="0061432E" w:rsidRDefault="0074064E" w:rsidP="000B422D">
            <w:pPr>
              <w:pStyle w:val="NormalWeb"/>
              <w:shd w:val="clear" w:color="auto" w:fill="FFFFFF"/>
              <w:tabs>
                <w:tab w:val="left" w:pos="301"/>
              </w:tabs>
              <w:rPr>
                <w:color w:val="000000"/>
                <w:shd w:val="clear" w:color="auto" w:fill="FFFFFF"/>
              </w:rPr>
            </w:pPr>
          </w:p>
        </w:tc>
      </w:tr>
      <w:tr w:rsidR="00AF4746" w:rsidRPr="0061432E" w14:paraId="37CB51C6" w14:textId="77777777" w:rsidTr="0061432E">
        <w:trPr>
          <w:trHeight w:val="70"/>
          <w:jc w:val="center"/>
        </w:trPr>
        <w:tc>
          <w:tcPr>
            <w:tcW w:w="1890" w:type="dxa"/>
            <w:shd w:val="clear" w:color="auto" w:fill="F2F2F2" w:themeFill="background1" w:themeFillShade="F2"/>
            <w:vAlign w:val="center"/>
          </w:tcPr>
          <w:p w14:paraId="0CD677A5"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Contract Cost and Price Analysis</w:t>
            </w:r>
          </w:p>
        </w:tc>
        <w:tc>
          <w:tcPr>
            <w:tcW w:w="4096" w:type="dxa"/>
          </w:tcPr>
          <w:p w14:paraId="1AB8BB60"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§323(a):</w:t>
            </w:r>
            <w:r w:rsidRPr="0061432E">
              <w:rPr>
                <w:color w:val="000000"/>
                <w:shd w:val="clear" w:color="auto" w:fill="FFFFFF"/>
              </w:rPr>
              <w:t xml:space="preserve">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w:t>
            </w:r>
          </w:p>
        </w:tc>
        <w:tc>
          <w:tcPr>
            <w:tcW w:w="8504" w:type="dxa"/>
          </w:tcPr>
          <w:p w14:paraId="66C89364" w14:textId="18C49F4F" w:rsidR="004F5B0D" w:rsidRPr="0061432E" w:rsidRDefault="004F5B0D" w:rsidP="00CA68EE">
            <w:pPr>
              <w:rPr>
                <w:rFonts w:ascii="Times New Roman" w:hAnsi="Times New Roman" w:cs="Times New Roman"/>
                <w:sz w:val="24"/>
                <w:szCs w:val="24"/>
              </w:rPr>
            </w:pPr>
          </w:p>
        </w:tc>
      </w:tr>
      <w:tr w:rsidR="00AF4746" w:rsidRPr="0061432E" w14:paraId="03005BED" w14:textId="77777777" w:rsidTr="0061432E">
        <w:trPr>
          <w:trHeight w:val="70"/>
          <w:jc w:val="center"/>
        </w:trPr>
        <w:tc>
          <w:tcPr>
            <w:tcW w:w="1890" w:type="dxa"/>
            <w:shd w:val="clear" w:color="auto" w:fill="F2F2F2" w:themeFill="background1" w:themeFillShade="F2"/>
            <w:vAlign w:val="center"/>
          </w:tcPr>
          <w:p w14:paraId="0E0CE8BB" w14:textId="3081FAC0"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Profit as a separate element of price.</w:t>
            </w:r>
          </w:p>
        </w:tc>
        <w:tc>
          <w:tcPr>
            <w:tcW w:w="4096" w:type="dxa"/>
          </w:tcPr>
          <w:p w14:paraId="20491292"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§323(b):</w:t>
            </w:r>
            <w:r w:rsidRPr="0061432E">
              <w:rPr>
                <w:i/>
                <w:color w:val="000000"/>
                <w:shd w:val="clear" w:color="auto" w:fill="FFFFFF"/>
              </w:rPr>
              <w:t xml:space="preserve"> </w:t>
            </w:r>
            <w:r w:rsidRPr="0061432E">
              <w:rPr>
                <w:color w:val="000000"/>
                <w:shd w:val="clear" w:color="auto" w:fill="FFFFFF"/>
              </w:rPr>
              <w:t xml:space="preserve">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w:t>
            </w:r>
            <w:r w:rsidRPr="0061432E">
              <w:rPr>
                <w:color w:val="000000"/>
                <w:shd w:val="clear" w:color="auto" w:fill="FFFFFF"/>
              </w:rPr>
              <w:lastRenderedPageBreak/>
              <w:t>the amount of subcontracting, the quality of its record of past performance, and industry profit rates in the surrounding geographical area for similar work.</w:t>
            </w:r>
          </w:p>
        </w:tc>
        <w:tc>
          <w:tcPr>
            <w:tcW w:w="8504" w:type="dxa"/>
          </w:tcPr>
          <w:p w14:paraId="09830917" w14:textId="66F9B876" w:rsidR="00AF4746" w:rsidRPr="0061432E" w:rsidRDefault="00AF4746" w:rsidP="00CA68EE">
            <w:pPr>
              <w:rPr>
                <w:rFonts w:ascii="Times New Roman" w:hAnsi="Times New Roman" w:cs="Times New Roman"/>
                <w:i/>
                <w:sz w:val="24"/>
                <w:szCs w:val="24"/>
              </w:rPr>
            </w:pPr>
          </w:p>
        </w:tc>
      </w:tr>
      <w:tr w:rsidR="00AF4746" w:rsidRPr="0061432E" w14:paraId="51B6568F" w14:textId="77777777" w:rsidTr="0061432E">
        <w:trPr>
          <w:trHeight w:val="70"/>
          <w:jc w:val="center"/>
        </w:trPr>
        <w:tc>
          <w:tcPr>
            <w:tcW w:w="1890" w:type="dxa"/>
            <w:shd w:val="clear" w:color="auto" w:fill="F2F2F2" w:themeFill="background1" w:themeFillShade="F2"/>
            <w:vAlign w:val="center"/>
          </w:tcPr>
          <w:p w14:paraId="3FD338C9" w14:textId="057D7065"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Contract Cost and Price</w:t>
            </w:r>
          </w:p>
        </w:tc>
        <w:tc>
          <w:tcPr>
            <w:tcW w:w="4096" w:type="dxa"/>
          </w:tcPr>
          <w:p w14:paraId="25365EE0"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§323(c):</w:t>
            </w:r>
            <w:r w:rsidRPr="0061432E">
              <w:rPr>
                <w:color w:val="000000"/>
                <w:shd w:val="clear" w:color="auto" w:fill="FFFFFF"/>
              </w:rPr>
              <w:t xml:space="preserve"> Costs or prices based on estimated costs for contracts under the Federal award are allowable only to the extent that costs incurred or cost estimates included in negotiated prices would be allowable for the non-Federal entity under Subpart E—Cost Principles of this part. The non-Federal entity may reference its own cost principles that comply with the Federal cost principles.</w:t>
            </w:r>
          </w:p>
        </w:tc>
        <w:tc>
          <w:tcPr>
            <w:tcW w:w="8504" w:type="dxa"/>
          </w:tcPr>
          <w:p w14:paraId="1BEC4240" w14:textId="53ECBD85" w:rsidR="006A5544" w:rsidRPr="0061432E" w:rsidRDefault="006A5544" w:rsidP="00CA68EE">
            <w:pPr>
              <w:rPr>
                <w:rFonts w:ascii="Times New Roman" w:hAnsi="Times New Roman" w:cs="Times New Roman"/>
                <w:b/>
                <w:i/>
                <w:sz w:val="24"/>
                <w:szCs w:val="24"/>
              </w:rPr>
            </w:pPr>
          </w:p>
        </w:tc>
      </w:tr>
      <w:tr w:rsidR="00AF4746" w:rsidRPr="0061432E" w14:paraId="0D266F00" w14:textId="77777777" w:rsidTr="0061432E">
        <w:trPr>
          <w:trHeight w:val="70"/>
          <w:jc w:val="center"/>
        </w:trPr>
        <w:tc>
          <w:tcPr>
            <w:tcW w:w="1890" w:type="dxa"/>
            <w:shd w:val="clear" w:color="auto" w:fill="F2F2F2" w:themeFill="background1" w:themeFillShade="F2"/>
            <w:vAlign w:val="center"/>
          </w:tcPr>
          <w:p w14:paraId="5B238676" w14:textId="384D8199"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Contract Cost and Price</w:t>
            </w:r>
          </w:p>
        </w:tc>
        <w:tc>
          <w:tcPr>
            <w:tcW w:w="4096" w:type="dxa"/>
          </w:tcPr>
          <w:p w14:paraId="7CEA46E3"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§323(d):</w:t>
            </w:r>
            <w:r w:rsidRPr="0061432E">
              <w:rPr>
                <w:color w:val="000000"/>
                <w:shd w:val="clear" w:color="auto" w:fill="FFFFFF"/>
              </w:rPr>
              <w:t xml:space="preserve"> The cost plus a percentage of cost and percentage of construction cost methods of contracting must not be used.</w:t>
            </w:r>
          </w:p>
        </w:tc>
        <w:tc>
          <w:tcPr>
            <w:tcW w:w="8504" w:type="dxa"/>
          </w:tcPr>
          <w:p w14:paraId="43116397" w14:textId="77777777" w:rsidR="00AF4746" w:rsidRPr="0061432E" w:rsidRDefault="00AF4746" w:rsidP="00CA68EE">
            <w:pPr>
              <w:rPr>
                <w:rFonts w:ascii="Times New Roman" w:hAnsi="Times New Roman" w:cs="Times New Roman"/>
                <w:i/>
                <w:sz w:val="24"/>
                <w:szCs w:val="24"/>
              </w:rPr>
            </w:pPr>
          </w:p>
        </w:tc>
      </w:tr>
      <w:tr w:rsidR="00AF4746" w:rsidRPr="0061432E" w14:paraId="17F91DC7" w14:textId="77777777" w:rsidTr="0061432E">
        <w:trPr>
          <w:trHeight w:val="70"/>
          <w:jc w:val="center"/>
        </w:trPr>
        <w:tc>
          <w:tcPr>
            <w:tcW w:w="1890" w:type="dxa"/>
            <w:shd w:val="clear" w:color="auto" w:fill="F2F2F2" w:themeFill="background1" w:themeFillShade="F2"/>
            <w:vAlign w:val="center"/>
          </w:tcPr>
          <w:p w14:paraId="167D0FFF"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Federal Awarding Agency or Pass-Through Entity</w:t>
            </w:r>
            <w:r w:rsidR="006E3393" w:rsidRPr="0061432E">
              <w:rPr>
                <w:rFonts w:ascii="Times New Roman" w:hAnsi="Times New Roman" w:cs="Times New Roman"/>
                <w:b/>
                <w:bCs/>
                <w:sz w:val="24"/>
                <w:szCs w:val="24"/>
              </w:rPr>
              <w:t xml:space="preserve"> Review</w:t>
            </w:r>
          </w:p>
          <w:p w14:paraId="56DB5791"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37BB3CC7"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§324(a):</w:t>
            </w:r>
            <w:r w:rsidRPr="0061432E">
              <w:rPr>
                <w:i/>
                <w:color w:val="000000"/>
                <w:shd w:val="clear" w:color="auto" w:fill="FFFFFF"/>
              </w:rPr>
              <w:t xml:space="preserve"> </w:t>
            </w:r>
            <w:r w:rsidRPr="0061432E">
              <w:rPr>
                <w:color w:val="000000"/>
                <w:shd w:val="clear" w:color="auto" w:fill="FFFFFF"/>
              </w:rPr>
              <w:t xml:space="preserve">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w:t>
            </w:r>
            <w:r w:rsidRPr="0061432E">
              <w:rPr>
                <w:color w:val="000000"/>
                <w:shd w:val="clear" w:color="auto" w:fill="FFFFFF"/>
              </w:rPr>
              <w:lastRenderedPageBreak/>
              <w:t>may still review the specifications, with such review usually limited to the technical aspects of the proposed purchase.</w:t>
            </w:r>
          </w:p>
        </w:tc>
        <w:tc>
          <w:tcPr>
            <w:tcW w:w="8504" w:type="dxa"/>
          </w:tcPr>
          <w:p w14:paraId="4B83BD11" w14:textId="4778DB6F" w:rsidR="00ED6F6D" w:rsidRPr="0061432E" w:rsidRDefault="00ED6F6D" w:rsidP="00CA68EE">
            <w:pPr>
              <w:rPr>
                <w:rFonts w:ascii="Times New Roman" w:hAnsi="Times New Roman" w:cs="Times New Roman"/>
                <w:i/>
                <w:sz w:val="24"/>
                <w:szCs w:val="24"/>
              </w:rPr>
            </w:pPr>
          </w:p>
        </w:tc>
      </w:tr>
      <w:tr w:rsidR="00AF4746" w:rsidRPr="0061432E" w14:paraId="1610B697" w14:textId="77777777" w:rsidTr="0061432E">
        <w:trPr>
          <w:trHeight w:val="70"/>
          <w:jc w:val="center"/>
        </w:trPr>
        <w:tc>
          <w:tcPr>
            <w:tcW w:w="1890" w:type="dxa"/>
            <w:shd w:val="clear" w:color="auto" w:fill="F2F2F2" w:themeFill="background1" w:themeFillShade="F2"/>
            <w:vAlign w:val="center"/>
          </w:tcPr>
          <w:p w14:paraId="4AF824A6"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Federal Awarding Agency or Pass-Through Entity</w:t>
            </w:r>
            <w:r w:rsidR="006E3393" w:rsidRPr="0061432E">
              <w:rPr>
                <w:rFonts w:ascii="Times New Roman" w:hAnsi="Times New Roman" w:cs="Times New Roman"/>
                <w:b/>
                <w:bCs/>
                <w:sz w:val="24"/>
                <w:szCs w:val="24"/>
              </w:rPr>
              <w:t xml:space="preserve"> Review</w:t>
            </w:r>
          </w:p>
          <w:p w14:paraId="2CA2C77A" w14:textId="77777777" w:rsidR="00AF4746" w:rsidRPr="0061432E" w:rsidRDefault="00AF4746" w:rsidP="0061432E">
            <w:pPr>
              <w:jc w:val="center"/>
              <w:rPr>
                <w:rFonts w:ascii="Times New Roman" w:hAnsi="Times New Roman" w:cs="Times New Roman"/>
                <w:b/>
                <w:bCs/>
                <w:sz w:val="24"/>
                <w:szCs w:val="24"/>
              </w:rPr>
            </w:pPr>
          </w:p>
        </w:tc>
        <w:tc>
          <w:tcPr>
            <w:tcW w:w="4096" w:type="dxa"/>
          </w:tcPr>
          <w:p w14:paraId="7BCB5E9F"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§324(b):</w:t>
            </w:r>
            <w:r w:rsidRPr="0061432E">
              <w:rPr>
                <w:i/>
                <w:color w:val="000000"/>
                <w:shd w:val="clear" w:color="auto" w:fill="FFFFFF"/>
              </w:rPr>
              <w:t xml:space="preserve"> </w:t>
            </w:r>
            <w:r w:rsidRPr="0061432E">
              <w:rPr>
                <w:color w:val="000000"/>
                <w:shd w:val="clear" w:color="auto" w:fill="FFFFFF"/>
              </w:rPr>
              <w:t>The non-Federal entity must make available upon request, for the Federal awarding agency or pass-through entity pre-procurement review, procurement documents, such as requests for proposals or invitations for bids, or independent cost estimates.</w:t>
            </w:r>
          </w:p>
        </w:tc>
        <w:tc>
          <w:tcPr>
            <w:tcW w:w="8504" w:type="dxa"/>
          </w:tcPr>
          <w:p w14:paraId="13649E11" w14:textId="59FF0E97" w:rsidR="0023593E" w:rsidRPr="0061432E" w:rsidRDefault="0023593E" w:rsidP="00CA68EE">
            <w:pPr>
              <w:rPr>
                <w:rFonts w:ascii="Times New Roman" w:hAnsi="Times New Roman" w:cs="Times New Roman"/>
                <w:sz w:val="24"/>
                <w:szCs w:val="24"/>
              </w:rPr>
            </w:pPr>
          </w:p>
        </w:tc>
      </w:tr>
      <w:tr w:rsidR="00AF4746" w:rsidRPr="0061432E" w14:paraId="22C2F5CE" w14:textId="77777777" w:rsidTr="0061432E">
        <w:trPr>
          <w:trHeight w:val="70"/>
          <w:jc w:val="center"/>
        </w:trPr>
        <w:tc>
          <w:tcPr>
            <w:tcW w:w="1890" w:type="dxa"/>
            <w:shd w:val="clear" w:color="auto" w:fill="F2F2F2" w:themeFill="background1" w:themeFillShade="F2"/>
            <w:vAlign w:val="center"/>
          </w:tcPr>
          <w:p w14:paraId="1A396C1D"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Federal Awarding Agency or Pass-Through Entity</w:t>
            </w:r>
            <w:r w:rsidR="006E3393" w:rsidRPr="0061432E">
              <w:rPr>
                <w:rFonts w:ascii="Times New Roman" w:hAnsi="Times New Roman" w:cs="Times New Roman"/>
                <w:b/>
                <w:bCs/>
                <w:sz w:val="24"/>
                <w:szCs w:val="24"/>
              </w:rPr>
              <w:t xml:space="preserve"> Review</w:t>
            </w:r>
          </w:p>
          <w:p w14:paraId="27F56349" w14:textId="1071992F" w:rsidR="00AF4746" w:rsidRPr="0061432E" w:rsidRDefault="00AF4746" w:rsidP="0061432E">
            <w:pPr>
              <w:jc w:val="center"/>
              <w:rPr>
                <w:rFonts w:ascii="Times New Roman" w:hAnsi="Times New Roman" w:cs="Times New Roman"/>
                <w:b/>
                <w:bCs/>
                <w:sz w:val="24"/>
                <w:szCs w:val="24"/>
              </w:rPr>
            </w:pPr>
          </w:p>
        </w:tc>
        <w:tc>
          <w:tcPr>
            <w:tcW w:w="4096" w:type="dxa"/>
          </w:tcPr>
          <w:p w14:paraId="0BEEBDB1"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§324(c):</w:t>
            </w:r>
            <w:r w:rsidRPr="0061432E">
              <w:rPr>
                <w:color w:val="000000"/>
                <w:shd w:val="clear" w:color="auto" w:fill="FFFFFF"/>
              </w:rPr>
              <w:t xml:space="preserve"> The non-Federal entity is exempt from the pre-procurement review in paragraph (b) of this section if the Federal awarding agency or pass-through entity determines that its procurement systems comply with the standards of this part.</w:t>
            </w:r>
          </w:p>
        </w:tc>
        <w:tc>
          <w:tcPr>
            <w:tcW w:w="8504" w:type="dxa"/>
          </w:tcPr>
          <w:p w14:paraId="261F8877" w14:textId="4EBBCDF2" w:rsidR="0023593E" w:rsidRPr="0061432E" w:rsidRDefault="0023593E" w:rsidP="00CA68EE">
            <w:pPr>
              <w:rPr>
                <w:rFonts w:ascii="Times New Roman" w:hAnsi="Times New Roman" w:cs="Times New Roman"/>
                <w:i/>
                <w:sz w:val="24"/>
                <w:szCs w:val="24"/>
              </w:rPr>
            </w:pPr>
          </w:p>
        </w:tc>
      </w:tr>
      <w:tr w:rsidR="00AF4746" w:rsidRPr="0061432E" w14:paraId="7F1B7DA7" w14:textId="77777777" w:rsidTr="0061432E">
        <w:trPr>
          <w:trHeight w:val="70"/>
          <w:jc w:val="center"/>
        </w:trPr>
        <w:tc>
          <w:tcPr>
            <w:tcW w:w="1890" w:type="dxa"/>
            <w:shd w:val="clear" w:color="auto" w:fill="F2F2F2" w:themeFill="background1" w:themeFillShade="F2"/>
            <w:vAlign w:val="center"/>
          </w:tcPr>
          <w:p w14:paraId="2C5C98A2" w14:textId="710E684D"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Bonding Requirements</w:t>
            </w:r>
          </w:p>
        </w:tc>
        <w:tc>
          <w:tcPr>
            <w:tcW w:w="4096" w:type="dxa"/>
          </w:tcPr>
          <w:p w14:paraId="77584C8D"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§325:</w:t>
            </w:r>
            <w:r w:rsidRPr="0061432E">
              <w:rPr>
                <w:i/>
                <w:color w:val="000000"/>
                <w:shd w:val="clear" w:color="auto" w:fill="FFFFFF"/>
              </w:rPr>
              <w:t xml:space="preserve"> </w:t>
            </w:r>
            <w:r w:rsidRPr="0061432E">
              <w:rPr>
                <w:color w:val="000000"/>
                <w:shd w:val="clear" w:color="auto" w:fill="FFFFFF"/>
              </w:rPr>
              <w:t>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w:t>
            </w:r>
          </w:p>
        </w:tc>
        <w:tc>
          <w:tcPr>
            <w:tcW w:w="8504" w:type="dxa"/>
          </w:tcPr>
          <w:p w14:paraId="52C23296" w14:textId="77777777" w:rsidR="00294D1C" w:rsidRPr="0061432E" w:rsidRDefault="00294D1C">
            <w:pPr>
              <w:rPr>
                <w:rFonts w:ascii="Times New Roman" w:hAnsi="Times New Roman" w:cs="Times New Roman"/>
                <w:sz w:val="24"/>
                <w:szCs w:val="24"/>
              </w:rPr>
            </w:pPr>
          </w:p>
        </w:tc>
      </w:tr>
      <w:tr w:rsidR="00AF4746" w:rsidRPr="0061432E" w14:paraId="674A9BDA" w14:textId="77777777" w:rsidTr="0061432E">
        <w:trPr>
          <w:trHeight w:val="70"/>
          <w:jc w:val="center"/>
        </w:trPr>
        <w:tc>
          <w:tcPr>
            <w:tcW w:w="1890" w:type="dxa"/>
            <w:shd w:val="clear" w:color="auto" w:fill="F2F2F2" w:themeFill="background1" w:themeFillShade="F2"/>
            <w:vAlign w:val="center"/>
          </w:tcPr>
          <w:p w14:paraId="5CB075B7"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Bid Guarantees</w:t>
            </w:r>
          </w:p>
        </w:tc>
        <w:tc>
          <w:tcPr>
            <w:tcW w:w="4096" w:type="dxa"/>
          </w:tcPr>
          <w:p w14:paraId="78A0C5AB" w14:textId="77777777" w:rsidR="00AF4746" w:rsidRPr="0061432E" w:rsidRDefault="00AF4746" w:rsidP="00990F29">
            <w:pPr>
              <w:pStyle w:val="NormalWeb"/>
              <w:shd w:val="clear" w:color="auto" w:fill="FFFFFF"/>
              <w:rPr>
                <w:i/>
                <w:color w:val="000000"/>
                <w:shd w:val="clear" w:color="auto" w:fill="FFFFFF"/>
              </w:rPr>
            </w:pPr>
            <w:r w:rsidRPr="0061432E">
              <w:rPr>
                <w:b/>
                <w:i/>
                <w:color w:val="000000"/>
                <w:shd w:val="clear" w:color="auto" w:fill="FFFFFF"/>
              </w:rPr>
              <w:t>§325(a):</w:t>
            </w:r>
            <w:r w:rsidRPr="0061432E">
              <w:rPr>
                <w:i/>
                <w:color w:val="000000"/>
                <w:shd w:val="clear" w:color="auto" w:fill="FFFFFF"/>
              </w:rPr>
              <w:t xml:space="preserve"> </w:t>
            </w:r>
            <w:r w:rsidRPr="0061432E">
              <w:rPr>
                <w:color w:val="000000"/>
                <w:shd w:val="clear" w:color="auto" w:fill="FFFFFF"/>
              </w:rPr>
              <w:t xml:space="preserve">A bid guarantee from each bidder equivalent to five percent of the bid price. The “bid guarantee” must consist of a firm commitment such as a bid bond, certified check, or other </w:t>
            </w:r>
            <w:r w:rsidRPr="0061432E">
              <w:rPr>
                <w:color w:val="000000"/>
                <w:shd w:val="clear" w:color="auto" w:fill="FFFFFF"/>
              </w:rPr>
              <w:lastRenderedPageBreak/>
              <w:t>negotiable instrument accompanying a bid as assurance that the bidder will, upon acceptance of the bid, execute such contractual documents as may be required within the time specified.</w:t>
            </w:r>
          </w:p>
        </w:tc>
        <w:tc>
          <w:tcPr>
            <w:tcW w:w="8504" w:type="dxa"/>
            <w:shd w:val="clear" w:color="auto" w:fill="FFFFFF" w:themeFill="background1"/>
          </w:tcPr>
          <w:p w14:paraId="2F86F3FA" w14:textId="50778416" w:rsidR="000020C2" w:rsidRPr="0061432E" w:rsidRDefault="000020C2" w:rsidP="00CA68EE">
            <w:pPr>
              <w:rPr>
                <w:rFonts w:ascii="Times New Roman" w:hAnsi="Times New Roman" w:cs="Times New Roman"/>
                <w:sz w:val="24"/>
                <w:szCs w:val="24"/>
              </w:rPr>
            </w:pPr>
          </w:p>
        </w:tc>
      </w:tr>
      <w:tr w:rsidR="00AF4746" w:rsidRPr="0061432E" w14:paraId="0CDA4A6F" w14:textId="77777777" w:rsidTr="0061432E">
        <w:trPr>
          <w:trHeight w:val="70"/>
          <w:jc w:val="center"/>
        </w:trPr>
        <w:tc>
          <w:tcPr>
            <w:tcW w:w="1890" w:type="dxa"/>
            <w:shd w:val="clear" w:color="auto" w:fill="F2F2F2" w:themeFill="background1" w:themeFillShade="F2"/>
            <w:vAlign w:val="center"/>
          </w:tcPr>
          <w:p w14:paraId="3449F8D3"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Performance Bonds</w:t>
            </w:r>
          </w:p>
        </w:tc>
        <w:tc>
          <w:tcPr>
            <w:tcW w:w="4096" w:type="dxa"/>
          </w:tcPr>
          <w:p w14:paraId="14DB8F72"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§325(b):</w:t>
            </w:r>
            <w:r w:rsidRPr="0061432E">
              <w:rPr>
                <w:color w:val="000000"/>
                <w:shd w:val="clear" w:color="auto" w:fill="FFFFFF"/>
              </w:rPr>
              <w:t xml:space="preserve"> A performance bond on the part of the contractor for 100 percent of the contract price. A “performance bond” is one executed in connection with a contract to secure fulfillment of all the contractor's obligations under such contract.</w:t>
            </w:r>
          </w:p>
        </w:tc>
        <w:tc>
          <w:tcPr>
            <w:tcW w:w="8504" w:type="dxa"/>
          </w:tcPr>
          <w:p w14:paraId="6703838B" w14:textId="5DB247B1" w:rsidR="000020C2" w:rsidRPr="0061432E" w:rsidRDefault="000020C2">
            <w:pPr>
              <w:rPr>
                <w:rFonts w:ascii="Times New Roman" w:hAnsi="Times New Roman" w:cs="Times New Roman"/>
                <w:i/>
                <w:sz w:val="24"/>
                <w:szCs w:val="24"/>
              </w:rPr>
            </w:pPr>
          </w:p>
        </w:tc>
      </w:tr>
      <w:tr w:rsidR="00AF4746" w:rsidRPr="0061432E" w14:paraId="0E7D745C" w14:textId="77777777" w:rsidTr="0061432E">
        <w:trPr>
          <w:trHeight w:val="70"/>
          <w:jc w:val="center"/>
        </w:trPr>
        <w:tc>
          <w:tcPr>
            <w:tcW w:w="1890" w:type="dxa"/>
            <w:shd w:val="clear" w:color="auto" w:fill="F2F2F2" w:themeFill="background1" w:themeFillShade="F2"/>
            <w:vAlign w:val="center"/>
          </w:tcPr>
          <w:p w14:paraId="2D663D1F" w14:textId="77777777" w:rsidR="00AF4746" w:rsidRPr="0061432E" w:rsidRDefault="00AF4746" w:rsidP="0061432E">
            <w:pPr>
              <w:jc w:val="center"/>
              <w:rPr>
                <w:rFonts w:ascii="Times New Roman" w:hAnsi="Times New Roman" w:cs="Times New Roman"/>
                <w:b/>
                <w:bCs/>
                <w:sz w:val="24"/>
                <w:szCs w:val="24"/>
              </w:rPr>
            </w:pPr>
            <w:r w:rsidRPr="0061432E">
              <w:rPr>
                <w:rFonts w:ascii="Times New Roman" w:hAnsi="Times New Roman" w:cs="Times New Roman"/>
                <w:b/>
                <w:bCs/>
                <w:sz w:val="24"/>
                <w:szCs w:val="24"/>
              </w:rPr>
              <w:t>Payment Bonds</w:t>
            </w:r>
          </w:p>
        </w:tc>
        <w:tc>
          <w:tcPr>
            <w:tcW w:w="4096" w:type="dxa"/>
          </w:tcPr>
          <w:p w14:paraId="46439BF6" w14:textId="77777777" w:rsidR="00AF4746" w:rsidRPr="0061432E" w:rsidRDefault="00AF4746" w:rsidP="00990F29">
            <w:pPr>
              <w:pStyle w:val="NormalWeb"/>
              <w:shd w:val="clear" w:color="auto" w:fill="FFFFFF"/>
              <w:rPr>
                <w:color w:val="000000"/>
                <w:shd w:val="clear" w:color="auto" w:fill="FFFFFF"/>
              </w:rPr>
            </w:pPr>
            <w:r w:rsidRPr="0061432E">
              <w:rPr>
                <w:b/>
                <w:i/>
                <w:color w:val="000000"/>
                <w:shd w:val="clear" w:color="auto" w:fill="FFFFFF"/>
              </w:rPr>
              <w:t>§325(c):</w:t>
            </w:r>
            <w:r w:rsidRPr="0061432E">
              <w:rPr>
                <w:color w:val="000000"/>
                <w:shd w:val="clear" w:color="auto" w:fill="FFFFFF"/>
              </w:rPr>
              <w:t xml:space="preserve">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p>
        </w:tc>
        <w:tc>
          <w:tcPr>
            <w:tcW w:w="8504" w:type="dxa"/>
          </w:tcPr>
          <w:p w14:paraId="60AE0187" w14:textId="25E7FB7E" w:rsidR="00B84F1C" w:rsidRPr="0061432E" w:rsidRDefault="00B84F1C" w:rsidP="0014001C">
            <w:pPr>
              <w:rPr>
                <w:rFonts w:ascii="Times New Roman" w:hAnsi="Times New Roman" w:cs="Times New Roman"/>
                <w:sz w:val="24"/>
                <w:szCs w:val="24"/>
              </w:rPr>
            </w:pPr>
          </w:p>
        </w:tc>
      </w:tr>
      <w:tr w:rsidR="00AF4746" w:rsidRPr="0061432E" w14:paraId="2F9C6D2F" w14:textId="77777777" w:rsidTr="0061432E">
        <w:trPr>
          <w:trHeight w:val="70"/>
          <w:jc w:val="center"/>
        </w:trPr>
        <w:tc>
          <w:tcPr>
            <w:tcW w:w="1890" w:type="dxa"/>
            <w:shd w:val="clear" w:color="auto" w:fill="F2F2F2" w:themeFill="background1" w:themeFillShade="F2"/>
            <w:vAlign w:val="center"/>
          </w:tcPr>
          <w:p w14:paraId="7DE59881" w14:textId="77777777" w:rsidR="00AF4746" w:rsidRPr="0061432E" w:rsidRDefault="00AF4746" w:rsidP="0061432E">
            <w:pPr>
              <w:jc w:val="center"/>
              <w:rPr>
                <w:rFonts w:ascii="Times New Roman" w:hAnsi="Times New Roman" w:cs="Times New Roman"/>
                <w:sz w:val="24"/>
                <w:szCs w:val="24"/>
              </w:rPr>
            </w:pPr>
            <w:r w:rsidRPr="0061432E">
              <w:rPr>
                <w:rFonts w:ascii="Times New Roman" w:hAnsi="Times New Roman" w:cs="Times New Roman"/>
                <w:b/>
                <w:bCs/>
                <w:sz w:val="24"/>
                <w:szCs w:val="24"/>
              </w:rPr>
              <w:t xml:space="preserve">Contract Provisions </w:t>
            </w:r>
          </w:p>
        </w:tc>
        <w:tc>
          <w:tcPr>
            <w:tcW w:w="4096" w:type="dxa"/>
          </w:tcPr>
          <w:p w14:paraId="01B55BDC" w14:textId="773EBAFF" w:rsidR="000839EE" w:rsidRPr="00CB4C17" w:rsidRDefault="00AF4746" w:rsidP="00990F29">
            <w:pPr>
              <w:pStyle w:val="NormalWeb"/>
              <w:shd w:val="clear" w:color="auto" w:fill="FFFFFF"/>
              <w:rPr>
                <w:color w:val="000000"/>
                <w:shd w:val="clear" w:color="auto" w:fill="FFFFFF"/>
              </w:rPr>
            </w:pPr>
            <w:r w:rsidRPr="0061432E">
              <w:rPr>
                <w:b/>
                <w:i/>
                <w:color w:val="000000"/>
                <w:shd w:val="clear" w:color="auto" w:fill="FFFFFF"/>
              </w:rPr>
              <w:t>§326:</w:t>
            </w:r>
            <w:r w:rsidRPr="0061432E">
              <w:rPr>
                <w:color w:val="000000"/>
                <w:shd w:val="clear" w:color="auto" w:fill="FFFFFF"/>
              </w:rPr>
              <w:t xml:space="preserve"> The non-Federal entity's contracts must contain the applicable provisions described in Appendix II to Part 200—Contract Provisions for non-Federal Entity Contracts Under Federal Awards.</w:t>
            </w:r>
            <w:bookmarkStart w:id="0" w:name="_GoBack"/>
            <w:bookmarkEnd w:id="0"/>
          </w:p>
        </w:tc>
        <w:tc>
          <w:tcPr>
            <w:tcW w:w="8504" w:type="dxa"/>
          </w:tcPr>
          <w:p w14:paraId="52700C80" w14:textId="08018482" w:rsidR="00AF4746" w:rsidRPr="0061432E" w:rsidRDefault="00AF4746" w:rsidP="00617A4D">
            <w:pPr>
              <w:rPr>
                <w:rFonts w:ascii="Times New Roman" w:hAnsi="Times New Roman" w:cs="Times New Roman"/>
                <w:b/>
                <w:i/>
                <w:sz w:val="24"/>
                <w:szCs w:val="24"/>
              </w:rPr>
            </w:pPr>
          </w:p>
        </w:tc>
      </w:tr>
    </w:tbl>
    <w:p w14:paraId="1F156005" w14:textId="77777777" w:rsidR="00CA68EE" w:rsidRPr="00990F29" w:rsidRDefault="00990F29" w:rsidP="00CA68EE">
      <w:pPr>
        <w:rPr>
          <w:rFonts w:ascii="Times New Roman" w:hAnsi="Times New Roman" w:cs="Times New Roman"/>
          <w:b/>
          <w:sz w:val="20"/>
          <w:szCs w:val="20"/>
        </w:rPr>
      </w:pPr>
      <w:r w:rsidRPr="00990F29">
        <w:rPr>
          <w:rFonts w:ascii="Times New Roman" w:hAnsi="Times New Roman" w:cs="Times New Roman"/>
          <w:b/>
          <w:sz w:val="20"/>
          <w:szCs w:val="20"/>
        </w:rPr>
        <w:tab/>
      </w:r>
      <w:r w:rsidRPr="00990F29">
        <w:rPr>
          <w:rFonts w:ascii="Times New Roman" w:hAnsi="Times New Roman" w:cs="Times New Roman"/>
          <w:b/>
          <w:sz w:val="20"/>
          <w:szCs w:val="20"/>
        </w:rPr>
        <w:tab/>
      </w:r>
    </w:p>
    <w:sectPr w:rsidR="00CA68EE" w:rsidRPr="00990F29" w:rsidSect="00617A4D">
      <w:headerReference w:type="default" r:id="rId10"/>
      <w:footerReference w:type="default" r:id="rId11"/>
      <w:pgSz w:w="15840" w:h="12240" w:orient="landscape"/>
      <w:pgMar w:top="1170" w:right="1440" w:bottom="99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5E86" w14:textId="77777777" w:rsidR="005F75C4" w:rsidRDefault="005F75C4" w:rsidP="00990F29">
      <w:pPr>
        <w:spacing w:after="0" w:line="240" w:lineRule="auto"/>
      </w:pPr>
      <w:r>
        <w:separator/>
      </w:r>
    </w:p>
  </w:endnote>
  <w:endnote w:type="continuationSeparator" w:id="0">
    <w:p w14:paraId="79850B99" w14:textId="77777777" w:rsidR="005F75C4" w:rsidRDefault="005F75C4" w:rsidP="0099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014353"/>
      <w:docPartObj>
        <w:docPartGallery w:val="Page Numbers (Bottom of Page)"/>
        <w:docPartUnique/>
      </w:docPartObj>
    </w:sdtPr>
    <w:sdtEndPr>
      <w:rPr>
        <w:color w:val="7F7F7F" w:themeColor="background1" w:themeShade="7F"/>
        <w:spacing w:val="60"/>
      </w:rPr>
    </w:sdtEndPr>
    <w:sdtContent>
      <w:p w14:paraId="146316F8" w14:textId="77777777" w:rsidR="009F73F3" w:rsidRDefault="009F73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3874F68B" w14:textId="77777777" w:rsidR="009F73F3" w:rsidRDefault="009F73F3" w:rsidP="00617A4D">
    <w:pPr>
      <w:pStyle w:val="Footer"/>
      <w:tabs>
        <w:tab w:val="clear" w:pos="4680"/>
        <w:tab w:val="clear" w:pos="9360"/>
        <w:tab w:val="left" w:pos="72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1326" w14:textId="77777777" w:rsidR="005F75C4" w:rsidRDefault="005F75C4" w:rsidP="00990F29">
      <w:pPr>
        <w:spacing w:after="0" w:line="240" w:lineRule="auto"/>
      </w:pPr>
      <w:r>
        <w:separator/>
      </w:r>
    </w:p>
  </w:footnote>
  <w:footnote w:type="continuationSeparator" w:id="0">
    <w:p w14:paraId="2EA2A526" w14:textId="77777777" w:rsidR="005F75C4" w:rsidRDefault="005F75C4" w:rsidP="0099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213A" w14:textId="7E16E59A" w:rsidR="009F73F3" w:rsidRDefault="009F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502"/>
    <w:multiLevelType w:val="hybridMultilevel"/>
    <w:tmpl w:val="AC9E9B4A"/>
    <w:lvl w:ilvl="0" w:tplc="081801EA">
      <w:start w:val="29"/>
      <w:numFmt w:val="decimal"/>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 w15:restartNumberingAfterBreak="0">
    <w:nsid w:val="28156376"/>
    <w:multiLevelType w:val="hybridMultilevel"/>
    <w:tmpl w:val="DEC00264"/>
    <w:lvl w:ilvl="0" w:tplc="16181130">
      <w:start w:val="1"/>
      <w:numFmt w:val="lowerRoman"/>
      <w:lvlText w:val="(%1)"/>
      <w:lvlJc w:val="left"/>
      <w:pPr>
        <w:ind w:left="1080" w:hanging="72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3C5"/>
    <w:multiLevelType w:val="hybridMultilevel"/>
    <w:tmpl w:val="FFCE2B2A"/>
    <w:lvl w:ilvl="0" w:tplc="351CCB2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C4BE9"/>
    <w:multiLevelType w:val="hybridMultilevel"/>
    <w:tmpl w:val="45FADE58"/>
    <w:lvl w:ilvl="0" w:tplc="4B847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F5DD0"/>
    <w:multiLevelType w:val="hybridMultilevel"/>
    <w:tmpl w:val="900CC68E"/>
    <w:lvl w:ilvl="0" w:tplc="5D6A287C">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65977"/>
    <w:multiLevelType w:val="hybridMultilevel"/>
    <w:tmpl w:val="FA3C7BAE"/>
    <w:lvl w:ilvl="0" w:tplc="D46CABB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74679"/>
    <w:multiLevelType w:val="hybridMultilevel"/>
    <w:tmpl w:val="9B1C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44D0A"/>
    <w:multiLevelType w:val="hybridMultilevel"/>
    <w:tmpl w:val="E4C8886C"/>
    <w:lvl w:ilvl="0" w:tplc="2D509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A5B13"/>
    <w:multiLevelType w:val="hybridMultilevel"/>
    <w:tmpl w:val="F2D8E04E"/>
    <w:lvl w:ilvl="0" w:tplc="B79EC7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A2F04"/>
    <w:multiLevelType w:val="hybridMultilevel"/>
    <w:tmpl w:val="12967314"/>
    <w:lvl w:ilvl="0" w:tplc="2EACC87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B6EA3"/>
    <w:multiLevelType w:val="hybridMultilevel"/>
    <w:tmpl w:val="F7E6E61E"/>
    <w:lvl w:ilvl="0" w:tplc="8940FDB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9236B"/>
    <w:multiLevelType w:val="hybridMultilevel"/>
    <w:tmpl w:val="5A782A0C"/>
    <w:lvl w:ilvl="0" w:tplc="948A13B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D1FFA"/>
    <w:multiLevelType w:val="hybridMultilevel"/>
    <w:tmpl w:val="AA72473C"/>
    <w:lvl w:ilvl="0" w:tplc="CC92ADAE">
      <w:start w:val="1"/>
      <w:numFmt w:val="decimal"/>
      <w:lvlText w:val="(%1)"/>
      <w:lvlJc w:val="left"/>
      <w:pPr>
        <w:ind w:left="720" w:hanging="360"/>
      </w:pPr>
      <w:rPr>
        <w:rFonts w:hint="default"/>
      </w:rPr>
    </w:lvl>
    <w:lvl w:ilvl="1" w:tplc="3A367C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3"/>
  </w:num>
  <w:num w:numId="5">
    <w:abstractNumId w:val="8"/>
  </w:num>
  <w:num w:numId="6">
    <w:abstractNumId w:val="6"/>
  </w:num>
  <w:num w:numId="7">
    <w:abstractNumId w:val="5"/>
  </w:num>
  <w:num w:numId="8">
    <w:abstractNumId w:val="11"/>
  </w:num>
  <w:num w:numId="9">
    <w:abstractNumId w:val="4"/>
  </w:num>
  <w:num w:numId="10">
    <w:abstractNumId w:val="1"/>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zI3szA0MzA3MLJU0lEKTi0uzszPAykwrAUAzMzCnywAAAA="/>
  </w:docVars>
  <w:rsids>
    <w:rsidRoot w:val="00CA68EE"/>
    <w:rsid w:val="000020C2"/>
    <w:rsid w:val="000046CC"/>
    <w:rsid w:val="00016E76"/>
    <w:rsid w:val="00030A05"/>
    <w:rsid w:val="0004407A"/>
    <w:rsid w:val="000466FF"/>
    <w:rsid w:val="00050683"/>
    <w:rsid w:val="00070431"/>
    <w:rsid w:val="00076B97"/>
    <w:rsid w:val="00080930"/>
    <w:rsid w:val="000839EE"/>
    <w:rsid w:val="0008404D"/>
    <w:rsid w:val="000B422D"/>
    <w:rsid w:val="000C303B"/>
    <w:rsid w:val="000C4365"/>
    <w:rsid w:val="000C7B3E"/>
    <w:rsid w:val="000C7E89"/>
    <w:rsid w:val="000D5444"/>
    <w:rsid w:val="000E130C"/>
    <w:rsid w:val="000E43C0"/>
    <w:rsid w:val="000F71CD"/>
    <w:rsid w:val="00107371"/>
    <w:rsid w:val="00107F3B"/>
    <w:rsid w:val="001107DE"/>
    <w:rsid w:val="001111B3"/>
    <w:rsid w:val="001302D5"/>
    <w:rsid w:val="001318C7"/>
    <w:rsid w:val="0013786A"/>
    <w:rsid w:val="0014001C"/>
    <w:rsid w:val="00142602"/>
    <w:rsid w:val="0014670C"/>
    <w:rsid w:val="00152844"/>
    <w:rsid w:val="00152D1C"/>
    <w:rsid w:val="00165DD8"/>
    <w:rsid w:val="001964CE"/>
    <w:rsid w:val="001A24F7"/>
    <w:rsid w:val="001A6D57"/>
    <w:rsid w:val="001B1BF1"/>
    <w:rsid w:val="001B3AD3"/>
    <w:rsid w:val="001B7A5E"/>
    <w:rsid w:val="001C4417"/>
    <w:rsid w:val="001C4814"/>
    <w:rsid w:val="001E42CC"/>
    <w:rsid w:val="001E6D43"/>
    <w:rsid w:val="001F0F09"/>
    <w:rsid w:val="0021210B"/>
    <w:rsid w:val="00213539"/>
    <w:rsid w:val="00220A79"/>
    <w:rsid w:val="002302F8"/>
    <w:rsid w:val="0023593E"/>
    <w:rsid w:val="00236260"/>
    <w:rsid w:val="002471F7"/>
    <w:rsid w:val="00254DA2"/>
    <w:rsid w:val="0025531B"/>
    <w:rsid w:val="00262DAA"/>
    <w:rsid w:val="00265400"/>
    <w:rsid w:val="00276DFC"/>
    <w:rsid w:val="00277315"/>
    <w:rsid w:val="00291260"/>
    <w:rsid w:val="00294D1C"/>
    <w:rsid w:val="00296CB3"/>
    <w:rsid w:val="002A35BA"/>
    <w:rsid w:val="002A3B3E"/>
    <w:rsid w:val="002C3536"/>
    <w:rsid w:val="002D1D5C"/>
    <w:rsid w:val="002D7577"/>
    <w:rsid w:val="002E1808"/>
    <w:rsid w:val="002F0402"/>
    <w:rsid w:val="0033023A"/>
    <w:rsid w:val="00333526"/>
    <w:rsid w:val="00347AE3"/>
    <w:rsid w:val="00355C34"/>
    <w:rsid w:val="00356E42"/>
    <w:rsid w:val="00363218"/>
    <w:rsid w:val="00370787"/>
    <w:rsid w:val="00380B02"/>
    <w:rsid w:val="00390282"/>
    <w:rsid w:val="003B121E"/>
    <w:rsid w:val="003C26C6"/>
    <w:rsid w:val="003C4F77"/>
    <w:rsid w:val="003E24C9"/>
    <w:rsid w:val="003E3C1F"/>
    <w:rsid w:val="003F1686"/>
    <w:rsid w:val="003F7D2C"/>
    <w:rsid w:val="00404DC9"/>
    <w:rsid w:val="00430FBD"/>
    <w:rsid w:val="004519CC"/>
    <w:rsid w:val="004744AF"/>
    <w:rsid w:val="00474BD0"/>
    <w:rsid w:val="00485A84"/>
    <w:rsid w:val="004875DD"/>
    <w:rsid w:val="0049001C"/>
    <w:rsid w:val="00492D90"/>
    <w:rsid w:val="004A0ECE"/>
    <w:rsid w:val="004B64A7"/>
    <w:rsid w:val="004C5EF4"/>
    <w:rsid w:val="004D6EE9"/>
    <w:rsid w:val="004E0D81"/>
    <w:rsid w:val="004E0E9C"/>
    <w:rsid w:val="004E0F70"/>
    <w:rsid w:val="004E15DE"/>
    <w:rsid w:val="004F2B7A"/>
    <w:rsid w:val="004F4752"/>
    <w:rsid w:val="004F5B0D"/>
    <w:rsid w:val="004F7ACF"/>
    <w:rsid w:val="00502F24"/>
    <w:rsid w:val="00512B63"/>
    <w:rsid w:val="0053128A"/>
    <w:rsid w:val="00544237"/>
    <w:rsid w:val="005462FB"/>
    <w:rsid w:val="00552F1B"/>
    <w:rsid w:val="0055687D"/>
    <w:rsid w:val="00560B8D"/>
    <w:rsid w:val="0057161F"/>
    <w:rsid w:val="00573E1E"/>
    <w:rsid w:val="0059047A"/>
    <w:rsid w:val="00593F4A"/>
    <w:rsid w:val="005A722D"/>
    <w:rsid w:val="005C38EF"/>
    <w:rsid w:val="005D1E18"/>
    <w:rsid w:val="005D32C3"/>
    <w:rsid w:val="005D3EC2"/>
    <w:rsid w:val="005E3B17"/>
    <w:rsid w:val="005E5A9C"/>
    <w:rsid w:val="005F1C27"/>
    <w:rsid w:val="005F75C4"/>
    <w:rsid w:val="00600B23"/>
    <w:rsid w:val="00601228"/>
    <w:rsid w:val="00601986"/>
    <w:rsid w:val="0061432E"/>
    <w:rsid w:val="00617A4D"/>
    <w:rsid w:val="00626C40"/>
    <w:rsid w:val="006315AB"/>
    <w:rsid w:val="006429DB"/>
    <w:rsid w:val="00670AB5"/>
    <w:rsid w:val="00684DA1"/>
    <w:rsid w:val="006A5015"/>
    <w:rsid w:val="006A5544"/>
    <w:rsid w:val="006B338A"/>
    <w:rsid w:val="006B7F61"/>
    <w:rsid w:val="006E3393"/>
    <w:rsid w:val="006E4A15"/>
    <w:rsid w:val="006F5EC6"/>
    <w:rsid w:val="00700A12"/>
    <w:rsid w:val="00713E4E"/>
    <w:rsid w:val="00735587"/>
    <w:rsid w:val="0074064E"/>
    <w:rsid w:val="00777904"/>
    <w:rsid w:val="007806DC"/>
    <w:rsid w:val="00780A81"/>
    <w:rsid w:val="00781486"/>
    <w:rsid w:val="00784C13"/>
    <w:rsid w:val="00796D26"/>
    <w:rsid w:val="00797762"/>
    <w:rsid w:val="007A2E52"/>
    <w:rsid w:val="007A6B2B"/>
    <w:rsid w:val="007A6FA3"/>
    <w:rsid w:val="007C24A1"/>
    <w:rsid w:val="007D03F0"/>
    <w:rsid w:val="007F766C"/>
    <w:rsid w:val="00800F95"/>
    <w:rsid w:val="0081706B"/>
    <w:rsid w:val="00821DBB"/>
    <w:rsid w:val="0082202D"/>
    <w:rsid w:val="008302D0"/>
    <w:rsid w:val="00830501"/>
    <w:rsid w:val="00834302"/>
    <w:rsid w:val="0083529E"/>
    <w:rsid w:val="00840E35"/>
    <w:rsid w:val="00841F19"/>
    <w:rsid w:val="00842A7E"/>
    <w:rsid w:val="0084522A"/>
    <w:rsid w:val="00847279"/>
    <w:rsid w:val="00852574"/>
    <w:rsid w:val="00853EC2"/>
    <w:rsid w:val="00857F2E"/>
    <w:rsid w:val="00875F49"/>
    <w:rsid w:val="008848E6"/>
    <w:rsid w:val="008A07BC"/>
    <w:rsid w:val="008B1FBA"/>
    <w:rsid w:val="008C35A2"/>
    <w:rsid w:val="008E459C"/>
    <w:rsid w:val="008E61F4"/>
    <w:rsid w:val="008F4061"/>
    <w:rsid w:val="008F5890"/>
    <w:rsid w:val="008F7D2D"/>
    <w:rsid w:val="008F7FBA"/>
    <w:rsid w:val="0090131A"/>
    <w:rsid w:val="009034E8"/>
    <w:rsid w:val="00920FF3"/>
    <w:rsid w:val="0092683B"/>
    <w:rsid w:val="00936A99"/>
    <w:rsid w:val="00941B5A"/>
    <w:rsid w:val="00944D77"/>
    <w:rsid w:val="00984D3A"/>
    <w:rsid w:val="009868D9"/>
    <w:rsid w:val="00990F29"/>
    <w:rsid w:val="009C5478"/>
    <w:rsid w:val="009C73A6"/>
    <w:rsid w:val="009D30CE"/>
    <w:rsid w:val="009D69B1"/>
    <w:rsid w:val="009D6C8E"/>
    <w:rsid w:val="009F73F3"/>
    <w:rsid w:val="00A058D0"/>
    <w:rsid w:val="00A10040"/>
    <w:rsid w:val="00A15F5C"/>
    <w:rsid w:val="00A175F3"/>
    <w:rsid w:val="00A2755B"/>
    <w:rsid w:val="00A3098B"/>
    <w:rsid w:val="00A41BFB"/>
    <w:rsid w:val="00A46FA5"/>
    <w:rsid w:val="00A474C8"/>
    <w:rsid w:val="00A56337"/>
    <w:rsid w:val="00A7199C"/>
    <w:rsid w:val="00A71DBF"/>
    <w:rsid w:val="00A73EE1"/>
    <w:rsid w:val="00A76C56"/>
    <w:rsid w:val="00A820E7"/>
    <w:rsid w:val="00A90D9F"/>
    <w:rsid w:val="00A91FB0"/>
    <w:rsid w:val="00A9418F"/>
    <w:rsid w:val="00AA2E5E"/>
    <w:rsid w:val="00AB716C"/>
    <w:rsid w:val="00AD722D"/>
    <w:rsid w:val="00AE27EA"/>
    <w:rsid w:val="00AE5B1E"/>
    <w:rsid w:val="00AF3A44"/>
    <w:rsid w:val="00AF4746"/>
    <w:rsid w:val="00B0263A"/>
    <w:rsid w:val="00B27953"/>
    <w:rsid w:val="00B3503B"/>
    <w:rsid w:val="00B500B3"/>
    <w:rsid w:val="00B63A7C"/>
    <w:rsid w:val="00B71E84"/>
    <w:rsid w:val="00B84F1C"/>
    <w:rsid w:val="00B93577"/>
    <w:rsid w:val="00B94D55"/>
    <w:rsid w:val="00B97582"/>
    <w:rsid w:val="00BB6E1C"/>
    <w:rsid w:val="00BB6EAE"/>
    <w:rsid w:val="00BC0360"/>
    <w:rsid w:val="00BD7CC4"/>
    <w:rsid w:val="00BE0C4C"/>
    <w:rsid w:val="00BE429F"/>
    <w:rsid w:val="00C0014E"/>
    <w:rsid w:val="00C10C6D"/>
    <w:rsid w:val="00C15104"/>
    <w:rsid w:val="00C15325"/>
    <w:rsid w:val="00C25B42"/>
    <w:rsid w:val="00C356B0"/>
    <w:rsid w:val="00C45ADE"/>
    <w:rsid w:val="00C73414"/>
    <w:rsid w:val="00C74911"/>
    <w:rsid w:val="00C87A04"/>
    <w:rsid w:val="00C87A77"/>
    <w:rsid w:val="00C95BE8"/>
    <w:rsid w:val="00CA68EE"/>
    <w:rsid w:val="00CB1974"/>
    <w:rsid w:val="00CB4C17"/>
    <w:rsid w:val="00CB6E20"/>
    <w:rsid w:val="00CC2F38"/>
    <w:rsid w:val="00CD252A"/>
    <w:rsid w:val="00CD6E75"/>
    <w:rsid w:val="00D145B4"/>
    <w:rsid w:val="00D15754"/>
    <w:rsid w:val="00D235FC"/>
    <w:rsid w:val="00D44587"/>
    <w:rsid w:val="00D53391"/>
    <w:rsid w:val="00D62144"/>
    <w:rsid w:val="00D76EC1"/>
    <w:rsid w:val="00D814E7"/>
    <w:rsid w:val="00D97417"/>
    <w:rsid w:val="00DA5482"/>
    <w:rsid w:val="00DD12C6"/>
    <w:rsid w:val="00E023EA"/>
    <w:rsid w:val="00E13ED9"/>
    <w:rsid w:val="00E165C1"/>
    <w:rsid w:val="00E2166F"/>
    <w:rsid w:val="00E24002"/>
    <w:rsid w:val="00E453AE"/>
    <w:rsid w:val="00E54BBB"/>
    <w:rsid w:val="00E62435"/>
    <w:rsid w:val="00E70A04"/>
    <w:rsid w:val="00E75229"/>
    <w:rsid w:val="00E81509"/>
    <w:rsid w:val="00E83EA9"/>
    <w:rsid w:val="00E85B62"/>
    <w:rsid w:val="00E93DC7"/>
    <w:rsid w:val="00EA1A07"/>
    <w:rsid w:val="00EA3BFF"/>
    <w:rsid w:val="00EB2DA8"/>
    <w:rsid w:val="00EC1E7D"/>
    <w:rsid w:val="00ED6F6D"/>
    <w:rsid w:val="00ED72C0"/>
    <w:rsid w:val="00EF45DE"/>
    <w:rsid w:val="00EF4C0D"/>
    <w:rsid w:val="00F10EB9"/>
    <w:rsid w:val="00F16F64"/>
    <w:rsid w:val="00F22504"/>
    <w:rsid w:val="00F25239"/>
    <w:rsid w:val="00F52ADC"/>
    <w:rsid w:val="00F56518"/>
    <w:rsid w:val="00F56E9A"/>
    <w:rsid w:val="00F62FDD"/>
    <w:rsid w:val="00F6435D"/>
    <w:rsid w:val="00F804AA"/>
    <w:rsid w:val="00F874E1"/>
    <w:rsid w:val="00F96F1F"/>
    <w:rsid w:val="00FA1A76"/>
    <w:rsid w:val="00FB72B3"/>
    <w:rsid w:val="00FC59AA"/>
    <w:rsid w:val="00FE5DE5"/>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75E2B"/>
  <w15:chartTrackingRefBased/>
  <w15:docId w15:val="{B647D9EB-C5B2-4D63-9958-C55779EE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8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F29"/>
  </w:style>
  <w:style w:type="paragraph" w:styleId="Footer">
    <w:name w:val="footer"/>
    <w:basedOn w:val="Normal"/>
    <w:link w:val="FooterChar"/>
    <w:uiPriority w:val="99"/>
    <w:unhideWhenUsed/>
    <w:rsid w:val="00990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F29"/>
  </w:style>
  <w:style w:type="paragraph" w:styleId="ListParagraph">
    <w:name w:val="List Paragraph"/>
    <w:basedOn w:val="Normal"/>
    <w:uiPriority w:val="34"/>
    <w:qFormat/>
    <w:rsid w:val="00847279"/>
    <w:pPr>
      <w:ind w:left="720"/>
      <w:contextualSpacing/>
    </w:pPr>
  </w:style>
  <w:style w:type="paragraph" w:styleId="BalloonText">
    <w:name w:val="Balloon Text"/>
    <w:basedOn w:val="Normal"/>
    <w:link w:val="BalloonTextChar"/>
    <w:uiPriority w:val="99"/>
    <w:semiHidden/>
    <w:unhideWhenUsed/>
    <w:rsid w:val="00D8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E7"/>
    <w:rPr>
      <w:rFonts w:ascii="Segoe UI" w:hAnsi="Segoe UI" w:cs="Segoe UI"/>
      <w:sz w:val="18"/>
      <w:szCs w:val="18"/>
    </w:rPr>
  </w:style>
  <w:style w:type="paragraph" w:customStyle="1" w:styleId="psection-2">
    <w:name w:val="psection-2"/>
    <w:basedOn w:val="Normal"/>
    <w:rsid w:val="007F76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7F7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F766C"/>
  </w:style>
  <w:style w:type="character" w:styleId="Hyperlink">
    <w:name w:val="Hyperlink"/>
    <w:basedOn w:val="DefaultParagraphFont"/>
    <w:uiPriority w:val="99"/>
    <w:unhideWhenUsed/>
    <w:rsid w:val="007F766C"/>
    <w:rPr>
      <w:color w:val="0000FF"/>
      <w:u w:val="single"/>
    </w:rPr>
  </w:style>
  <w:style w:type="paragraph" w:customStyle="1" w:styleId="left">
    <w:name w:val="left"/>
    <w:basedOn w:val="Normal"/>
    <w:rsid w:val="00BC036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5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AD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13E4E"/>
    <w:rPr>
      <w:color w:val="808080"/>
      <w:shd w:val="clear" w:color="auto" w:fill="E6E6E6"/>
    </w:rPr>
  </w:style>
  <w:style w:type="character" w:styleId="FollowedHyperlink">
    <w:name w:val="FollowedHyperlink"/>
    <w:basedOn w:val="DefaultParagraphFont"/>
    <w:uiPriority w:val="99"/>
    <w:semiHidden/>
    <w:unhideWhenUsed/>
    <w:rsid w:val="00E13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582">
      <w:bodyDiv w:val="1"/>
      <w:marLeft w:val="0"/>
      <w:marRight w:val="0"/>
      <w:marTop w:val="0"/>
      <w:marBottom w:val="0"/>
      <w:divBdr>
        <w:top w:val="none" w:sz="0" w:space="0" w:color="auto"/>
        <w:left w:val="none" w:sz="0" w:space="0" w:color="auto"/>
        <w:bottom w:val="none" w:sz="0" w:space="0" w:color="auto"/>
        <w:right w:val="none" w:sz="0" w:space="0" w:color="auto"/>
      </w:divBdr>
    </w:div>
    <w:div w:id="117182187">
      <w:bodyDiv w:val="1"/>
      <w:marLeft w:val="0"/>
      <w:marRight w:val="0"/>
      <w:marTop w:val="0"/>
      <w:marBottom w:val="0"/>
      <w:divBdr>
        <w:top w:val="none" w:sz="0" w:space="0" w:color="auto"/>
        <w:left w:val="none" w:sz="0" w:space="0" w:color="auto"/>
        <w:bottom w:val="none" w:sz="0" w:space="0" w:color="auto"/>
        <w:right w:val="none" w:sz="0" w:space="0" w:color="auto"/>
      </w:divBdr>
    </w:div>
    <w:div w:id="143477656">
      <w:bodyDiv w:val="1"/>
      <w:marLeft w:val="0"/>
      <w:marRight w:val="0"/>
      <w:marTop w:val="0"/>
      <w:marBottom w:val="0"/>
      <w:divBdr>
        <w:top w:val="none" w:sz="0" w:space="0" w:color="auto"/>
        <w:left w:val="none" w:sz="0" w:space="0" w:color="auto"/>
        <w:bottom w:val="none" w:sz="0" w:space="0" w:color="auto"/>
        <w:right w:val="none" w:sz="0" w:space="0" w:color="auto"/>
      </w:divBdr>
    </w:div>
    <w:div w:id="144905277">
      <w:bodyDiv w:val="1"/>
      <w:marLeft w:val="0"/>
      <w:marRight w:val="0"/>
      <w:marTop w:val="0"/>
      <w:marBottom w:val="0"/>
      <w:divBdr>
        <w:top w:val="none" w:sz="0" w:space="0" w:color="auto"/>
        <w:left w:val="none" w:sz="0" w:space="0" w:color="auto"/>
        <w:bottom w:val="none" w:sz="0" w:space="0" w:color="auto"/>
        <w:right w:val="none" w:sz="0" w:space="0" w:color="auto"/>
      </w:divBdr>
    </w:div>
    <w:div w:id="290672603">
      <w:bodyDiv w:val="1"/>
      <w:marLeft w:val="0"/>
      <w:marRight w:val="0"/>
      <w:marTop w:val="0"/>
      <w:marBottom w:val="0"/>
      <w:divBdr>
        <w:top w:val="none" w:sz="0" w:space="0" w:color="auto"/>
        <w:left w:val="none" w:sz="0" w:space="0" w:color="auto"/>
        <w:bottom w:val="none" w:sz="0" w:space="0" w:color="auto"/>
        <w:right w:val="none" w:sz="0" w:space="0" w:color="auto"/>
      </w:divBdr>
    </w:div>
    <w:div w:id="367146835">
      <w:bodyDiv w:val="1"/>
      <w:marLeft w:val="0"/>
      <w:marRight w:val="0"/>
      <w:marTop w:val="0"/>
      <w:marBottom w:val="0"/>
      <w:divBdr>
        <w:top w:val="none" w:sz="0" w:space="0" w:color="auto"/>
        <w:left w:val="none" w:sz="0" w:space="0" w:color="auto"/>
        <w:bottom w:val="none" w:sz="0" w:space="0" w:color="auto"/>
        <w:right w:val="none" w:sz="0" w:space="0" w:color="auto"/>
      </w:divBdr>
    </w:div>
    <w:div w:id="498426686">
      <w:bodyDiv w:val="1"/>
      <w:marLeft w:val="0"/>
      <w:marRight w:val="0"/>
      <w:marTop w:val="0"/>
      <w:marBottom w:val="0"/>
      <w:divBdr>
        <w:top w:val="none" w:sz="0" w:space="0" w:color="auto"/>
        <w:left w:val="none" w:sz="0" w:space="0" w:color="auto"/>
        <w:bottom w:val="none" w:sz="0" w:space="0" w:color="auto"/>
        <w:right w:val="none" w:sz="0" w:space="0" w:color="auto"/>
      </w:divBdr>
    </w:div>
    <w:div w:id="540048732">
      <w:bodyDiv w:val="1"/>
      <w:marLeft w:val="0"/>
      <w:marRight w:val="0"/>
      <w:marTop w:val="0"/>
      <w:marBottom w:val="0"/>
      <w:divBdr>
        <w:top w:val="none" w:sz="0" w:space="0" w:color="auto"/>
        <w:left w:val="none" w:sz="0" w:space="0" w:color="auto"/>
        <w:bottom w:val="none" w:sz="0" w:space="0" w:color="auto"/>
        <w:right w:val="none" w:sz="0" w:space="0" w:color="auto"/>
      </w:divBdr>
    </w:div>
    <w:div w:id="601036584">
      <w:bodyDiv w:val="1"/>
      <w:marLeft w:val="0"/>
      <w:marRight w:val="0"/>
      <w:marTop w:val="0"/>
      <w:marBottom w:val="0"/>
      <w:divBdr>
        <w:top w:val="none" w:sz="0" w:space="0" w:color="auto"/>
        <w:left w:val="none" w:sz="0" w:space="0" w:color="auto"/>
        <w:bottom w:val="none" w:sz="0" w:space="0" w:color="auto"/>
        <w:right w:val="none" w:sz="0" w:space="0" w:color="auto"/>
      </w:divBdr>
    </w:div>
    <w:div w:id="658533134">
      <w:bodyDiv w:val="1"/>
      <w:marLeft w:val="0"/>
      <w:marRight w:val="0"/>
      <w:marTop w:val="0"/>
      <w:marBottom w:val="0"/>
      <w:divBdr>
        <w:top w:val="none" w:sz="0" w:space="0" w:color="auto"/>
        <w:left w:val="none" w:sz="0" w:space="0" w:color="auto"/>
        <w:bottom w:val="none" w:sz="0" w:space="0" w:color="auto"/>
        <w:right w:val="none" w:sz="0" w:space="0" w:color="auto"/>
      </w:divBdr>
    </w:div>
    <w:div w:id="692924088">
      <w:bodyDiv w:val="1"/>
      <w:marLeft w:val="0"/>
      <w:marRight w:val="0"/>
      <w:marTop w:val="0"/>
      <w:marBottom w:val="0"/>
      <w:divBdr>
        <w:top w:val="none" w:sz="0" w:space="0" w:color="auto"/>
        <w:left w:val="none" w:sz="0" w:space="0" w:color="auto"/>
        <w:bottom w:val="none" w:sz="0" w:space="0" w:color="auto"/>
        <w:right w:val="none" w:sz="0" w:space="0" w:color="auto"/>
      </w:divBdr>
    </w:div>
    <w:div w:id="782192318">
      <w:bodyDiv w:val="1"/>
      <w:marLeft w:val="0"/>
      <w:marRight w:val="0"/>
      <w:marTop w:val="0"/>
      <w:marBottom w:val="0"/>
      <w:divBdr>
        <w:top w:val="none" w:sz="0" w:space="0" w:color="auto"/>
        <w:left w:val="none" w:sz="0" w:space="0" w:color="auto"/>
        <w:bottom w:val="none" w:sz="0" w:space="0" w:color="auto"/>
        <w:right w:val="none" w:sz="0" w:space="0" w:color="auto"/>
      </w:divBdr>
    </w:div>
    <w:div w:id="823937393">
      <w:bodyDiv w:val="1"/>
      <w:marLeft w:val="0"/>
      <w:marRight w:val="0"/>
      <w:marTop w:val="0"/>
      <w:marBottom w:val="0"/>
      <w:divBdr>
        <w:top w:val="none" w:sz="0" w:space="0" w:color="auto"/>
        <w:left w:val="none" w:sz="0" w:space="0" w:color="auto"/>
        <w:bottom w:val="none" w:sz="0" w:space="0" w:color="auto"/>
        <w:right w:val="none" w:sz="0" w:space="0" w:color="auto"/>
      </w:divBdr>
    </w:div>
    <w:div w:id="897284396">
      <w:bodyDiv w:val="1"/>
      <w:marLeft w:val="0"/>
      <w:marRight w:val="0"/>
      <w:marTop w:val="0"/>
      <w:marBottom w:val="0"/>
      <w:divBdr>
        <w:top w:val="none" w:sz="0" w:space="0" w:color="auto"/>
        <w:left w:val="none" w:sz="0" w:space="0" w:color="auto"/>
        <w:bottom w:val="none" w:sz="0" w:space="0" w:color="auto"/>
        <w:right w:val="none" w:sz="0" w:space="0" w:color="auto"/>
      </w:divBdr>
      <w:divsChild>
        <w:div w:id="451173491">
          <w:marLeft w:val="300"/>
          <w:marRight w:val="0"/>
          <w:marTop w:val="0"/>
          <w:marBottom w:val="0"/>
          <w:divBdr>
            <w:top w:val="none" w:sz="0" w:space="0" w:color="auto"/>
            <w:left w:val="none" w:sz="0" w:space="0" w:color="auto"/>
            <w:bottom w:val="none" w:sz="0" w:space="0" w:color="auto"/>
            <w:right w:val="none" w:sz="0" w:space="0" w:color="auto"/>
          </w:divBdr>
        </w:div>
        <w:div w:id="1581720660">
          <w:marLeft w:val="300"/>
          <w:marRight w:val="0"/>
          <w:marTop w:val="0"/>
          <w:marBottom w:val="0"/>
          <w:divBdr>
            <w:top w:val="none" w:sz="0" w:space="0" w:color="auto"/>
            <w:left w:val="none" w:sz="0" w:space="0" w:color="auto"/>
            <w:bottom w:val="none" w:sz="0" w:space="0" w:color="auto"/>
            <w:right w:val="none" w:sz="0" w:space="0" w:color="auto"/>
          </w:divBdr>
          <w:divsChild>
            <w:div w:id="1163357821">
              <w:marLeft w:val="300"/>
              <w:marRight w:val="0"/>
              <w:marTop w:val="0"/>
              <w:marBottom w:val="0"/>
              <w:divBdr>
                <w:top w:val="none" w:sz="0" w:space="0" w:color="auto"/>
                <w:left w:val="none" w:sz="0" w:space="0" w:color="auto"/>
                <w:bottom w:val="none" w:sz="0" w:space="0" w:color="auto"/>
                <w:right w:val="none" w:sz="0" w:space="0" w:color="auto"/>
              </w:divBdr>
            </w:div>
            <w:div w:id="16791183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7183981">
      <w:bodyDiv w:val="1"/>
      <w:marLeft w:val="0"/>
      <w:marRight w:val="0"/>
      <w:marTop w:val="0"/>
      <w:marBottom w:val="0"/>
      <w:divBdr>
        <w:top w:val="none" w:sz="0" w:space="0" w:color="auto"/>
        <w:left w:val="none" w:sz="0" w:space="0" w:color="auto"/>
        <w:bottom w:val="none" w:sz="0" w:space="0" w:color="auto"/>
        <w:right w:val="none" w:sz="0" w:space="0" w:color="auto"/>
      </w:divBdr>
    </w:div>
    <w:div w:id="1223907975">
      <w:bodyDiv w:val="1"/>
      <w:marLeft w:val="0"/>
      <w:marRight w:val="0"/>
      <w:marTop w:val="0"/>
      <w:marBottom w:val="0"/>
      <w:divBdr>
        <w:top w:val="none" w:sz="0" w:space="0" w:color="auto"/>
        <w:left w:val="none" w:sz="0" w:space="0" w:color="auto"/>
        <w:bottom w:val="none" w:sz="0" w:space="0" w:color="auto"/>
        <w:right w:val="none" w:sz="0" w:space="0" w:color="auto"/>
      </w:divBdr>
    </w:div>
    <w:div w:id="1325086787">
      <w:bodyDiv w:val="1"/>
      <w:marLeft w:val="0"/>
      <w:marRight w:val="0"/>
      <w:marTop w:val="0"/>
      <w:marBottom w:val="0"/>
      <w:divBdr>
        <w:top w:val="none" w:sz="0" w:space="0" w:color="auto"/>
        <w:left w:val="none" w:sz="0" w:space="0" w:color="auto"/>
        <w:bottom w:val="none" w:sz="0" w:space="0" w:color="auto"/>
        <w:right w:val="none" w:sz="0" w:space="0" w:color="auto"/>
      </w:divBdr>
    </w:div>
    <w:div w:id="1441534457">
      <w:bodyDiv w:val="1"/>
      <w:marLeft w:val="0"/>
      <w:marRight w:val="0"/>
      <w:marTop w:val="0"/>
      <w:marBottom w:val="0"/>
      <w:divBdr>
        <w:top w:val="none" w:sz="0" w:space="0" w:color="auto"/>
        <w:left w:val="none" w:sz="0" w:space="0" w:color="auto"/>
        <w:bottom w:val="none" w:sz="0" w:space="0" w:color="auto"/>
        <w:right w:val="none" w:sz="0" w:space="0" w:color="auto"/>
      </w:divBdr>
    </w:div>
    <w:div w:id="1504733999">
      <w:bodyDiv w:val="1"/>
      <w:marLeft w:val="0"/>
      <w:marRight w:val="0"/>
      <w:marTop w:val="0"/>
      <w:marBottom w:val="0"/>
      <w:divBdr>
        <w:top w:val="none" w:sz="0" w:space="0" w:color="auto"/>
        <w:left w:val="none" w:sz="0" w:space="0" w:color="auto"/>
        <w:bottom w:val="none" w:sz="0" w:space="0" w:color="auto"/>
        <w:right w:val="none" w:sz="0" w:space="0" w:color="auto"/>
      </w:divBdr>
    </w:div>
    <w:div w:id="1512521991">
      <w:bodyDiv w:val="1"/>
      <w:marLeft w:val="0"/>
      <w:marRight w:val="0"/>
      <w:marTop w:val="0"/>
      <w:marBottom w:val="0"/>
      <w:divBdr>
        <w:top w:val="none" w:sz="0" w:space="0" w:color="auto"/>
        <w:left w:val="none" w:sz="0" w:space="0" w:color="auto"/>
        <w:bottom w:val="none" w:sz="0" w:space="0" w:color="auto"/>
        <w:right w:val="none" w:sz="0" w:space="0" w:color="auto"/>
      </w:divBdr>
    </w:div>
    <w:div w:id="1540432329">
      <w:bodyDiv w:val="1"/>
      <w:marLeft w:val="0"/>
      <w:marRight w:val="0"/>
      <w:marTop w:val="0"/>
      <w:marBottom w:val="0"/>
      <w:divBdr>
        <w:top w:val="none" w:sz="0" w:space="0" w:color="auto"/>
        <w:left w:val="none" w:sz="0" w:space="0" w:color="auto"/>
        <w:bottom w:val="none" w:sz="0" w:space="0" w:color="auto"/>
        <w:right w:val="none" w:sz="0" w:space="0" w:color="auto"/>
      </w:divBdr>
    </w:div>
    <w:div w:id="1580168206">
      <w:bodyDiv w:val="1"/>
      <w:marLeft w:val="0"/>
      <w:marRight w:val="0"/>
      <w:marTop w:val="0"/>
      <w:marBottom w:val="0"/>
      <w:divBdr>
        <w:top w:val="none" w:sz="0" w:space="0" w:color="auto"/>
        <w:left w:val="none" w:sz="0" w:space="0" w:color="auto"/>
        <w:bottom w:val="none" w:sz="0" w:space="0" w:color="auto"/>
        <w:right w:val="none" w:sz="0" w:space="0" w:color="auto"/>
      </w:divBdr>
    </w:div>
    <w:div w:id="1635792043">
      <w:bodyDiv w:val="1"/>
      <w:marLeft w:val="0"/>
      <w:marRight w:val="0"/>
      <w:marTop w:val="0"/>
      <w:marBottom w:val="0"/>
      <w:divBdr>
        <w:top w:val="none" w:sz="0" w:space="0" w:color="auto"/>
        <w:left w:val="none" w:sz="0" w:space="0" w:color="auto"/>
        <w:bottom w:val="none" w:sz="0" w:space="0" w:color="auto"/>
        <w:right w:val="none" w:sz="0" w:space="0" w:color="auto"/>
      </w:divBdr>
    </w:div>
    <w:div w:id="1799642144">
      <w:bodyDiv w:val="1"/>
      <w:marLeft w:val="0"/>
      <w:marRight w:val="0"/>
      <w:marTop w:val="0"/>
      <w:marBottom w:val="0"/>
      <w:divBdr>
        <w:top w:val="none" w:sz="0" w:space="0" w:color="auto"/>
        <w:left w:val="none" w:sz="0" w:space="0" w:color="auto"/>
        <w:bottom w:val="none" w:sz="0" w:space="0" w:color="auto"/>
        <w:right w:val="none" w:sz="0" w:space="0" w:color="auto"/>
      </w:divBdr>
    </w:div>
    <w:div w:id="1827159972">
      <w:bodyDiv w:val="1"/>
      <w:marLeft w:val="0"/>
      <w:marRight w:val="0"/>
      <w:marTop w:val="0"/>
      <w:marBottom w:val="0"/>
      <w:divBdr>
        <w:top w:val="none" w:sz="0" w:space="0" w:color="auto"/>
        <w:left w:val="none" w:sz="0" w:space="0" w:color="auto"/>
        <w:bottom w:val="none" w:sz="0" w:space="0" w:color="auto"/>
        <w:right w:val="none" w:sz="0" w:space="0" w:color="auto"/>
      </w:divBdr>
    </w:div>
    <w:div w:id="2053993297">
      <w:bodyDiv w:val="1"/>
      <w:marLeft w:val="0"/>
      <w:marRight w:val="0"/>
      <w:marTop w:val="0"/>
      <w:marBottom w:val="0"/>
      <w:divBdr>
        <w:top w:val="none" w:sz="0" w:space="0" w:color="auto"/>
        <w:left w:val="none" w:sz="0" w:space="0" w:color="auto"/>
        <w:bottom w:val="none" w:sz="0" w:space="0" w:color="auto"/>
        <w:right w:val="none" w:sz="0" w:space="0" w:color="auto"/>
      </w:divBdr>
    </w:div>
    <w:div w:id="2060470084">
      <w:bodyDiv w:val="1"/>
      <w:marLeft w:val="0"/>
      <w:marRight w:val="0"/>
      <w:marTop w:val="0"/>
      <w:marBottom w:val="0"/>
      <w:divBdr>
        <w:top w:val="none" w:sz="0" w:space="0" w:color="auto"/>
        <w:left w:val="none" w:sz="0" w:space="0" w:color="auto"/>
        <w:bottom w:val="none" w:sz="0" w:space="0" w:color="auto"/>
        <w:right w:val="none" w:sz="0" w:space="0" w:color="auto"/>
      </w:divBdr>
    </w:div>
    <w:div w:id="2068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E0E24-76D1-462E-80D7-D283781E2C6A}"/>
</file>

<file path=customXml/itemProps2.xml><?xml version="1.0" encoding="utf-8"?>
<ds:datastoreItem xmlns:ds="http://schemas.openxmlformats.org/officeDocument/2006/customXml" ds:itemID="{3959C276-2402-4977-BF1E-47B10C3D7992}">
  <ds:schemaRefs>
    <ds:schemaRef ds:uri="http://schemas.microsoft.com/sharepoint/v3/contenttype/forms"/>
  </ds:schemaRefs>
</ds:datastoreItem>
</file>

<file path=customXml/itemProps3.xml><?xml version="1.0" encoding="utf-8"?>
<ds:datastoreItem xmlns:ds="http://schemas.openxmlformats.org/officeDocument/2006/customXml" ds:itemID="{B26E7BCB-A164-45E3-AE56-2F874515BFFE}">
  <ds:schemaRefs>
    <ds:schemaRef ds:uri="http://purl.org/dc/elements/1.1/"/>
    <ds:schemaRef ds:uri="http://schemas.microsoft.com/office/infopath/2007/PartnerControls"/>
    <ds:schemaRef ds:uri="fc9e3848-2c57-438b-9587-bb2ddbe3a95f"/>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6328831e-c2cb-49dd-b490-e820c68b85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Cervantes</dc:creator>
  <cp:keywords/>
  <dc:description/>
  <cp:lastModifiedBy>Martin Rivera</cp:lastModifiedBy>
  <cp:revision>10</cp:revision>
  <cp:lastPrinted>2018-08-06T20:28:00Z</cp:lastPrinted>
  <dcterms:created xsi:type="dcterms:W3CDTF">2020-04-20T13:36:00Z</dcterms:created>
  <dcterms:modified xsi:type="dcterms:W3CDTF">2020-04-20T13:47:00Z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